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360" w:lineRule="auto"/>
        <w:jc w:val="both"/>
        <w:rPr>
          <w:rFonts w:hint="default" w:ascii="Times New Roman" w:eastAsia="宋体" w:cs="Times New Roman"/>
          <w:highlight w:val="none"/>
          <w:lang w:val="en-US" w:eastAsia="zh-CN"/>
        </w:rPr>
      </w:pPr>
      <w:r>
        <w:rPr>
          <w:rFonts w:hint="eastAsia" w:ascii="Times New Roman" w:cs="Times New Roman"/>
          <w:highlight w:val="none"/>
        </w:rPr>
        <w:t>证券代码：</w:t>
      </w:r>
      <w:r>
        <w:rPr>
          <w:rFonts w:ascii="Times New Roman" w:cs="Times New Roman"/>
          <w:highlight w:val="none"/>
        </w:rPr>
        <w:t xml:space="preserve">300873         </w:t>
      </w:r>
      <w:r>
        <w:rPr>
          <w:rFonts w:hint="eastAsia" w:ascii="Times New Roman" w:cs="Times New Roman"/>
          <w:highlight w:val="none"/>
        </w:rPr>
        <w:t>证券简称：海晨股份</w:t>
      </w:r>
      <w:r>
        <w:rPr>
          <w:rFonts w:ascii="Times New Roman" w:cs="Times New Roman"/>
          <w:highlight w:val="none"/>
        </w:rPr>
        <w:t xml:space="preserve">        </w:t>
      </w:r>
      <w:r>
        <w:rPr>
          <w:rFonts w:hint="eastAsia" w:ascii="Times New Roman" w:cs="Times New Roman"/>
          <w:highlight w:val="none"/>
        </w:rPr>
        <w:t>公告编号：2</w:t>
      </w:r>
      <w:r>
        <w:rPr>
          <w:rFonts w:ascii="Times New Roman" w:cs="Times New Roman"/>
          <w:highlight w:val="none"/>
        </w:rPr>
        <w:t>02</w:t>
      </w:r>
      <w:r>
        <w:rPr>
          <w:rFonts w:hint="eastAsia" w:ascii="Times New Roman" w:cs="Times New Roman"/>
          <w:highlight w:val="none"/>
          <w:lang w:val="en-US" w:eastAsia="zh-CN"/>
        </w:rPr>
        <w:t>4</w:t>
      </w:r>
      <w:r>
        <w:rPr>
          <w:rFonts w:hint="eastAsia" w:ascii="Times New Roman" w:cs="Times New Roman"/>
          <w:highlight w:val="none"/>
        </w:rPr>
        <w:t>-</w:t>
      </w:r>
      <w:r>
        <w:rPr>
          <w:rFonts w:hint="eastAsia" w:ascii="Times New Roman" w:cs="Times New Roman"/>
          <w:highlight w:val="none"/>
          <w:lang w:val="en-US" w:eastAsia="zh-CN"/>
        </w:rPr>
        <w:t>001</w:t>
      </w:r>
    </w:p>
    <w:p>
      <w:pPr>
        <w:pStyle w:val="11"/>
        <w:spacing w:before="156" w:beforeLines="50" w:after="156" w:afterLines="50" w:line="360" w:lineRule="auto"/>
        <w:jc w:val="center"/>
        <w:rPr>
          <w:rFonts w:ascii="黑体" w:hAnsi="黑体" w:eastAsia="黑体"/>
          <w:b/>
          <w:color w:val="000000" w:themeColor="text1"/>
          <w:sz w:val="32"/>
          <w:szCs w:val="32"/>
          <w:highlight w:val="none"/>
          <w14:textFill>
            <w14:solidFill>
              <w14:schemeClr w14:val="tx1"/>
            </w14:solidFill>
          </w14:textFill>
        </w:rPr>
      </w:pPr>
      <w:r>
        <w:rPr>
          <w:rFonts w:hint="eastAsia" w:ascii="黑体" w:hAnsi="黑体" w:eastAsia="黑体"/>
          <w:b/>
          <w:color w:val="000000" w:themeColor="text1"/>
          <w:sz w:val="32"/>
          <w:szCs w:val="32"/>
          <w:highlight w:val="none"/>
          <w14:textFill>
            <w14:solidFill>
              <w14:schemeClr w14:val="tx1"/>
            </w14:solidFill>
          </w14:textFill>
        </w:rPr>
        <w:t>江苏海晨物流股份有限公司</w:t>
      </w:r>
    </w:p>
    <w:p>
      <w:pPr>
        <w:pStyle w:val="11"/>
        <w:spacing w:before="156" w:beforeLines="50" w:after="156" w:afterLines="50" w:line="360" w:lineRule="auto"/>
        <w:jc w:val="center"/>
        <w:rPr>
          <w:rFonts w:ascii="黑体" w:hAnsi="黑体" w:eastAsia="黑体"/>
          <w:b/>
          <w:color w:val="000000" w:themeColor="text1"/>
          <w:sz w:val="32"/>
          <w:szCs w:val="32"/>
          <w:highlight w:val="none"/>
          <w14:textFill>
            <w14:solidFill>
              <w14:schemeClr w14:val="tx1"/>
            </w14:solidFill>
          </w14:textFill>
        </w:rPr>
      </w:pPr>
      <w:r>
        <w:rPr>
          <w:rFonts w:hint="eastAsia" w:ascii="黑体" w:hAnsi="黑体" w:eastAsia="黑体"/>
          <w:b/>
          <w:color w:val="000000" w:themeColor="text1"/>
          <w:sz w:val="32"/>
          <w:szCs w:val="32"/>
          <w:highlight w:val="none"/>
          <w14:textFill>
            <w14:solidFill>
              <w14:schemeClr w14:val="tx1"/>
            </w14:solidFill>
          </w14:textFill>
        </w:rPr>
        <w:t>关于回购公司股份方案的公告</w:t>
      </w:r>
    </w:p>
    <w:p>
      <w:pPr>
        <w:pBdr>
          <w:top w:val="single" w:color="auto" w:sz="4" w:space="0"/>
          <w:left w:val="single" w:color="auto" w:sz="4" w:space="4"/>
          <w:bottom w:val="single" w:color="auto" w:sz="4" w:space="5"/>
          <w:right w:val="single" w:color="auto" w:sz="4" w:space="4"/>
        </w:pBdr>
        <w:adjustRightInd w:val="0"/>
        <w:snapToGrid w:val="0"/>
        <w:spacing w:before="62" w:beforeLines="20" w:after="62" w:afterLines="20" w:line="500" w:lineRule="exact"/>
        <w:ind w:firstLine="480" w:firstLineChars="200"/>
        <w:rPr>
          <w:rFonts w:ascii="宋体" w:hAnsi="宋体"/>
          <w:color w:val="000000"/>
          <w:sz w:val="24"/>
          <w:szCs w:val="24"/>
          <w:highlight w:val="none"/>
        </w:rPr>
      </w:pPr>
      <w:r>
        <w:rPr>
          <w:rFonts w:ascii="宋体" w:hAnsi="宋体"/>
          <w:color w:val="000000"/>
          <w:sz w:val="24"/>
          <w:highlight w:val="none"/>
        </w:rPr>
        <w:t>本公司及董事会全体成员保证信息披露的内容真实、准确、完整，没有虚假记载、误导性陈述或重大遗漏。</w:t>
      </w:r>
    </w:p>
    <w:p>
      <w:pPr>
        <w:spacing w:line="360" w:lineRule="auto"/>
        <w:ind w:firstLine="482" w:firstLineChars="200"/>
        <w:rPr>
          <w:b/>
          <w:bCs/>
          <w:sz w:val="24"/>
          <w:szCs w:val="24"/>
          <w:highlight w:val="none"/>
        </w:rPr>
      </w:pPr>
      <w:r>
        <w:rPr>
          <w:rFonts w:hint="eastAsia"/>
          <w:b/>
          <w:bCs/>
          <w:sz w:val="24"/>
          <w:szCs w:val="24"/>
          <w:highlight w:val="none"/>
        </w:rPr>
        <w:t>重要内容提示：</w:t>
      </w:r>
    </w:p>
    <w:p>
      <w:pPr>
        <w:spacing w:line="360" w:lineRule="auto"/>
        <w:ind w:firstLine="480" w:firstLineChars="200"/>
        <w:rPr>
          <w:sz w:val="24"/>
          <w:szCs w:val="24"/>
          <w:highlight w:val="none"/>
        </w:rPr>
      </w:pPr>
      <w:r>
        <w:rPr>
          <w:rFonts w:hint="eastAsia"/>
          <w:sz w:val="24"/>
          <w:szCs w:val="24"/>
          <w:highlight w:val="none"/>
        </w:rPr>
        <w:t>1、江苏海晨物流股份有限公司（以下简称“公司”或“本公司”）拟使用自有资金以集中竞价交易方式回购公司部分社会公众股份，未来用于实施股权激励及/或员工持股计划（以下简称“本次回购”），回购方案的主要内容如下：</w:t>
      </w:r>
    </w:p>
    <w:p>
      <w:pPr>
        <w:spacing w:line="360" w:lineRule="auto"/>
        <w:ind w:firstLine="480" w:firstLineChars="200"/>
        <w:rPr>
          <w:sz w:val="24"/>
          <w:szCs w:val="24"/>
          <w:highlight w:val="none"/>
        </w:rPr>
      </w:pPr>
      <w:r>
        <w:rPr>
          <w:rFonts w:hint="eastAsia"/>
          <w:sz w:val="24"/>
          <w:szCs w:val="24"/>
          <w:highlight w:val="none"/>
        </w:rPr>
        <w:t>（1）拟回购股份的种类：公司已发行的人民币普通股（A股）股票。</w:t>
      </w:r>
    </w:p>
    <w:p>
      <w:pPr>
        <w:spacing w:line="360" w:lineRule="auto"/>
        <w:ind w:firstLine="480" w:firstLineChars="200"/>
        <w:rPr>
          <w:sz w:val="24"/>
          <w:szCs w:val="24"/>
          <w:highlight w:val="none"/>
        </w:rPr>
      </w:pPr>
      <w:r>
        <w:rPr>
          <w:rFonts w:hint="eastAsia"/>
          <w:sz w:val="24"/>
          <w:szCs w:val="24"/>
          <w:highlight w:val="none"/>
        </w:rPr>
        <w:t>（2）拟回购股份的用途：本次回购股份用于股权激励及/或员工持股计划。</w:t>
      </w:r>
    </w:p>
    <w:p>
      <w:pPr>
        <w:spacing w:line="360" w:lineRule="auto"/>
        <w:ind w:firstLine="480" w:firstLineChars="200"/>
        <w:rPr>
          <w:sz w:val="24"/>
          <w:szCs w:val="24"/>
          <w:highlight w:val="none"/>
        </w:rPr>
      </w:pPr>
      <w:r>
        <w:rPr>
          <w:rFonts w:hint="eastAsia"/>
          <w:sz w:val="24"/>
          <w:szCs w:val="24"/>
          <w:highlight w:val="none"/>
        </w:rPr>
        <w:t>（3）拟回购股份的价格区间：不超过人民币</w:t>
      </w:r>
      <w:r>
        <w:rPr>
          <w:rFonts w:hint="eastAsia"/>
          <w:sz w:val="24"/>
          <w:szCs w:val="24"/>
          <w:highlight w:val="none"/>
          <w:lang w:val="en-US" w:eastAsia="zh-CN"/>
        </w:rPr>
        <w:t>28.80</w:t>
      </w:r>
      <w:r>
        <w:rPr>
          <w:rFonts w:hint="eastAsia"/>
          <w:sz w:val="24"/>
          <w:szCs w:val="24"/>
          <w:highlight w:val="none"/>
        </w:rPr>
        <w:t>元/股。</w:t>
      </w:r>
    </w:p>
    <w:p>
      <w:pPr>
        <w:spacing w:line="360" w:lineRule="auto"/>
        <w:ind w:firstLine="480" w:firstLineChars="200"/>
        <w:rPr>
          <w:sz w:val="24"/>
          <w:szCs w:val="24"/>
          <w:highlight w:val="none"/>
        </w:rPr>
      </w:pPr>
      <w:r>
        <w:rPr>
          <w:rFonts w:hint="eastAsia"/>
          <w:sz w:val="24"/>
          <w:szCs w:val="24"/>
          <w:highlight w:val="none"/>
        </w:rPr>
        <w:t>（4）拟用于回购的资金总额：回购资金总额不低于人民币</w:t>
      </w:r>
      <w:r>
        <w:rPr>
          <w:rFonts w:hint="eastAsia"/>
          <w:sz w:val="24"/>
          <w:szCs w:val="24"/>
          <w:highlight w:val="none"/>
          <w:lang w:val="en-US" w:eastAsia="zh-CN"/>
        </w:rPr>
        <w:t>3</w:t>
      </w:r>
      <w:r>
        <w:rPr>
          <w:sz w:val="24"/>
          <w:szCs w:val="24"/>
          <w:highlight w:val="none"/>
        </w:rPr>
        <w:t>,000</w:t>
      </w:r>
      <w:r>
        <w:rPr>
          <w:rFonts w:hint="eastAsia"/>
          <w:sz w:val="24"/>
          <w:szCs w:val="24"/>
          <w:highlight w:val="none"/>
        </w:rPr>
        <w:t>万元（含），不超过人民币</w:t>
      </w:r>
      <w:r>
        <w:rPr>
          <w:rFonts w:hint="eastAsia"/>
          <w:sz w:val="24"/>
          <w:szCs w:val="24"/>
          <w:highlight w:val="none"/>
          <w:lang w:val="en-US" w:eastAsia="zh-CN"/>
        </w:rPr>
        <w:t>6</w:t>
      </w:r>
      <w:r>
        <w:rPr>
          <w:sz w:val="24"/>
          <w:szCs w:val="24"/>
          <w:highlight w:val="none"/>
        </w:rPr>
        <w:t>,000</w:t>
      </w:r>
      <w:r>
        <w:rPr>
          <w:rFonts w:hint="eastAsia"/>
          <w:sz w:val="24"/>
          <w:szCs w:val="24"/>
          <w:highlight w:val="none"/>
        </w:rPr>
        <w:t>万元（含）。</w:t>
      </w:r>
    </w:p>
    <w:p>
      <w:pPr>
        <w:spacing w:line="360" w:lineRule="auto"/>
        <w:ind w:firstLine="480" w:firstLineChars="200"/>
        <w:rPr>
          <w:sz w:val="24"/>
          <w:szCs w:val="24"/>
          <w:highlight w:val="none"/>
        </w:rPr>
      </w:pPr>
      <w:r>
        <w:rPr>
          <w:rFonts w:hint="eastAsia"/>
          <w:sz w:val="24"/>
          <w:szCs w:val="24"/>
          <w:highlight w:val="none"/>
        </w:rPr>
        <w:t>（5）拟用于回购的资金来源：本次回购股份的资金来源于公司自有资金。</w:t>
      </w:r>
    </w:p>
    <w:p>
      <w:pPr>
        <w:spacing w:line="360" w:lineRule="auto"/>
        <w:ind w:firstLine="480" w:firstLineChars="200"/>
        <w:rPr>
          <w:sz w:val="24"/>
          <w:szCs w:val="24"/>
          <w:highlight w:val="none"/>
        </w:rPr>
      </w:pPr>
      <w:r>
        <w:rPr>
          <w:rFonts w:hint="eastAsia"/>
          <w:sz w:val="24"/>
          <w:szCs w:val="24"/>
          <w:highlight w:val="none"/>
        </w:rPr>
        <w:t>（6）拟回购股份的数量和占总股本的比例：按回购资金总额下限人民币</w:t>
      </w:r>
      <w:r>
        <w:rPr>
          <w:rFonts w:hint="eastAsia"/>
          <w:sz w:val="24"/>
          <w:szCs w:val="24"/>
          <w:highlight w:val="none"/>
          <w:lang w:val="en-US" w:eastAsia="zh-CN"/>
        </w:rPr>
        <w:t>3</w:t>
      </w:r>
      <w:r>
        <w:rPr>
          <w:sz w:val="24"/>
          <w:szCs w:val="24"/>
          <w:highlight w:val="none"/>
        </w:rPr>
        <w:t>,000</w:t>
      </w:r>
      <w:r>
        <w:rPr>
          <w:rFonts w:hint="eastAsia"/>
          <w:sz w:val="24"/>
          <w:szCs w:val="24"/>
          <w:highlight w:val="none"/>
        </w:rPr>
        <w:t>万元、回购价格上限</w:t>
      </w:r>
      <w:r>
        <w:rPr>
          <w:rFonts w:hint="eastAsia"/>
          <w:sz w:val="24"/>
          <w:szCs w:val="24"/>
          <w:highlight w:val="none"/>
          <w:lang w:val="en-US" w:eastAsia="zh-CN"/>
        </w:rPr>
        <w:t>28.80</w:t>
      </w:r>
      <w:r>
        <w:rPr>
          <w:rFonts w:hint="eastAsia"/>
          <w:sz w:val="24"/>
          <w:szCs w:val="24"/>
          <w:highlight w:val="none"/>
        </w:rPr>
        <w:t>元/股进行测算，预计回购股份为1,041,667股，约占公司目前已发行总股本的</w:t>
      </w:r>
      <w:r>
        <w:rPr>
          <w:rFonts w:hint="eastAsia"/>
          <w:sz w:val="24"/>
          <w:szCs w:val="24"/>
          <w:highlight w:val="none"/>
          <w:lang w:eastAsia="zh-CN"/>
        </w:rPr>
        <w:t>0.45%</w:t>
      </w:r>
      <w:r>
        <w:rPr>
          <w:rFonts w:hint="eastAsia"/>
          <w:sz w:val="24"/>
          <w:szCs w:val="24"/>
          <w:highlight w:val="none"/>
        </w:rPr>
        <w:t>；按回购资金总额上限人民币</w:t>
      </w:r>
      <w:r>
        <w:rPr>
          <w:rFonts w:hint="eastAsia"/>
          <w:sz w:val="24"/>
          <w:szCs w:val="24"/>
          <w:highlight w:val="none"/>
          <w:lang w:val="en-US" w:eastAsia="zh-CN"/>
        </w:rPr>
        <w:t>6</w:t>
      </w:r>
      <w:r>
        <w:rPr>
          <w:rFonts w:hint="eastAsia"/>
          <w:sz w:val="24"/>
          <w:szCs w:val="24"/>
          <w:highlight w:val="none"/>
        </w:rPr>
        <w:t>,</w:t>
      </w:r>
      <w:r>
        <w:rPr>
          <w:sz w:val="24"/>
          <w:szCs w:val="24"/>
          <w:highlight w:val="none"/>
        </w:rPr>
        <w:t>000</w:t>
      </w:r>
      <w:r>
        <w:rPr>
          <w:rFonts w:hint="eastAsia"/>
          <w:sz w:val="24"/>
          <w:szCs w:val="24"/>
          <w:highlight w:val="none"/>
        </w:rPr>
        <w:t>万元、回购价格上限</w:t>
      </w:r>
      <w:r>
        <w:rPr>
          <w:rFonts w:hint="eastAsia"/>
          <w:sz w:val="24"/>
          <w:szCs w:val="24"/>
          <w:highlight w:val="none"/>
          <w:lang w:val="en-US" w:eastAsia="zh-CN"/>
        </w:rPr>
        <w:t>28.80</w:t>
      </w:r>
      <w:r>
        <w:rPr>
          <w:rFonts w:hint="eastAsia"/>
          <w:sz w:val="24"/>
          <w:szCs w:val="24"/>
          <w:highlight w:val="none"/>
        </w:rPr>
        <w:t>元/股进行测算，预计回购股份为2,083,333股，约占公司目前已发行总股本的</w:t>
      </w:r>
      <w:r>
        <w:rPr>
          <w:rFonts w:hint="eastAsia"/>
          <w:sz w:val="24"/>
          <w:szCs w:val="24"/>
          <w:highlight w:val="none"/>
          <w:lang w:val="en-US" w:eastAsia="zh-CN"/>
        </w:rPr>
        <w:t>0.90%</w:t>
      </w:r>
      <w:r>
        <w:rPr>
          <w:rFonts w:hint="eastAsia"/>
          <w:sz w:val="24"/>
          <w:szCs w:val="24"/>
          <w:highlight w:val="none"/>
        </w:rPr>
        <w:t>。具体回购股份的数量以回购期满时实际回购的股份数量为准。若公司在回购期间内实施了送股、资本公积金转增股本、现金分红、配股等除权除息事项，自股价除权除息之日起，相应调整回购价格上限，回购股份数量和占公司总股本的比例等指标亦相应调整。</w:t>
      </w:r>
    </w:p>
    <w:p>
      <w:pPr>
        <w:spacing w:line="360" w:lineRule="auto"/>
        <w:ind w:firstLine="480" w:firstLineChars="200"/>
        <w:rPr>
          <w:sz w:val="24"/>
          <w:szCs w:val="24"/>
          <w:highlight w:val="none"/>
        </w:rPr>
      </w:pPr>
      <w:r>
        <w:rPr>
          <w:rFonts w:hint="eastAsia"/>
          <w:sz w:val="24"/>
          <w:szCs w:val="24"/>
          <w:highlight w:val="none"/>
        </w:rPr>
        <w:t>（7）实施期限：本次回购股份实施期限为自董事会审议通过回购方案之日</w:t>
      </w:r>
    </w:p>
    <w:p>
      <w:pPr>
        <w:spacing w:line="360" w:lineRule="auto"/>
        <w:rPr>
          <w:sz w:val="24"/>
          <w:szCs w:val="24"/>
          <w:highlight w:val="none"/>
        </w:rPr>
      </w:pPr>
      <w:r>
        <w:rPr>
          <w:rFonts w:hint="eastAsia"/>
          <w:sz w:val="24"/>
          <w:szCs w:val="24"/>
          <w:highlight w:val="none"/>
        </w:rPr>
        <w:t>起12个月内。</w:t>
      </w:r>
    </w:p>
    <w:p>
      <w:pPr>
        <w:spacing w:line="360" w:lineRule="auto"/>
        <w:ind w:firstLine="480" w:firstLineChars="200"/>
        <w:rPr>
          <w:sz w:val="24"/>
          <w:szCs w:val="24"/>
          <w:highlight w:val="none"/>
        </w:rPr>
      </w:pPr>
      <w:r>
        <w:rPr>
          <w:rFonts w:hint="eastAsia"/>
          <w:sz w:val="24"/>
          <w:szCs w:val="24"/>
          <w:highlight w:val="none"/>
        </w:rPr>
        <w:t>2、关于相关股东是否存在减持计划的说明</w:t>
      </w:r>
    </w:p>
    <w:p>
      <w:pPr>
        <w:spacing w:line="360" w:lineRule="auto"/>
        <w:ind w:firstLine="480" w:firstLineChars="200"/>
        <w:rPr>
          <w:sz w:val="24"/>
          <w:szCs w:val="24"/>
          <w:highlight w:val="none"/>
        </w:rPr>
      </w:pPr>
      <w:r>
        <w:rPr>
          <w:rFonts w:hint="eastAsia"/>
          <w:sz w:val="24"/>
          <w:szCs w:val="24"/>
          <w:highlight w:val="none"/>
        </w:rPr>
        <w:t>截至本公告日，公司董事、监事、高级管理人员、控股股东及其一致行动人、其他持有5%以上公司股份的股东在回购期间及未来六个月暂无减持计划，若未来六个月有拟实施股份减持计划的，公司将按照中国证监会、深圳证券交易所的相关规定及时履行信息披露义务。</w:t>
      </w:r>
    </w:p>
    <w:p>
      <w:pPr>
        <w:spacing w:line="360" w:lineRule="auto"/>
        <w:ind w:firstLine="480" w:firstLineChars="200"/>
        <w:rPr>
          <w:sz w:val="24"/>
          <w:szCs w:val="24"/>
          <w:highlight w:val="none"/>
        </w:rPr>
      </w:pPr>
      <w:r>
        <w:rPr>
          <w:rFonts w:hint="eastAsia"/>
          <w:sz w:val="24"/>
          <w:szCs w:val="24"/>
          <w:highlight w:val="none"/>
        </w:rPr>
        <w:t>3、相关风险提示</w:t>
      </w:r>
    </w:p>
    <w:p>
      <w:pPr>
        <w:spacing w:line="360" w:lineRule="auto"/>
        <w:ind w:firstLine="480" w:firstLineChars="200"/>
        <w:rPr>
          <w:sz w:val="24"/>
          <w:szCs w:val="24"/>
          <w:highlight w:val="none"/>
        </w:rPr>
      </w:pPr>
      <w:r>
        <w:rPr>
          <w:rFonts w:hint="eastAsia"/>
          <w:sz w:val="24"/>
          <w:szCs w:val="24"/>
          <w:highlight w:val="none"/>
        </w:rPr>
        <w:t>（1）本次回购股份方案存在回购期限内股票价格持续超出回购价格上限，而导致本次回购方案无法实施或只能部分实施等不确定性风险；</w:t>
      </w:r>
    </w:p>
    <w:p>
      <w:pPr>
        <w:spacing w:line="360" w:lineRule="auto"/>
        <w:ind w:firstLine="480" w:firstLineChars="200"/>
        <w:rPr>
          <w:sz w:val="24"/>
          <w:szCs w:val="24"/>
          <w:highlight w:val="none"/>
        </w:rPr>
      </w:pPr>
      <w:r>
        <w:rPr>
          <w:rFonts w:hint="eastAsia"/>
          <w:sz w:val="24"/>
          <w:szCs w:val="24"/>
          <w:highlight w:val="none"/>
        </w:rPr>
        <w:t>（2）本次回购股份方案存在因发生对公司股票交易价格产生重大影响的重大事项或公司董事会决定终止本次回购方案、公司不符合法律法规规定的回购股份条件等而无法实施的风险；</w:t>
      </w:r>
    </w:p>
    <w:p>
      <w:pPr>
        <w:spacing w:line="360" w:lineRule="auto"/>
        <w:ind w:firstLine="480" w:firstLineChars="200"/>
        <w:rPr>
          <w:sz w:val="24"/>
          <w:szCs w:val="24"/>
          <w:highlight w:val="none"/>
        </w:rPr>
      </w:pPr>
      <w:r>
        <w:rPr>
          <w:rFonts w:hint="eastAsia"/>
          <w:sz w:val="24"/>
          <w:szCs w:val="24"/>
          <w:highlight w:val="none"/>
        </w:rPr>
        <w:t>（3）本次回购股份方案可能存在因公司经营、财务状况、外部客观情况发生重大变化等原因，根据规则需变更或终止回购方案的风险；</w:t>
      </w:r>
    </w:p>
    <w:p>
      <w:pPr>
        <w:spacing w:line="360" w:lineRule="auto"/>
        <w:ind w:firstLine="480" w:firstLineChars="200"/>
        <w:rPr>
          <w:sz w:val="24"/>
          <w:szCs w:val="24"/>
          <w:highlight w:val="none"/>
        </w:rPr>
      </w:pPr>
      <w:r>
        <w:rPr>
          <w:rFonts w:hint="eastAsia"/>
          <w:sz w:val="24"/>
          <w:szCs w:val="24"/>
          <w:highlight w:val="none"/>
        </w:rPr>
        <w:t>（4）本次回购股份方案可能存在因股权激励及/或员工持股计划未能经公司董事会和股东大会审议通过、股权激励（及/或员工持股计划）对象放弃认购等原因，导致已回购股份无法全部授出而被注销的风险。公司将在回购期间内根据市场情况择机做出回购决策并予以实施，并根据回购股份事项进展情况及时履行信息披露义务，敬请广大投资者注意投资风险。</w:t>
      </w:r>
    </w:p>
    <w:p>
      <w:pPr>
        <w:spacing w:line="360" w:lineRule="auto"/>
        <w:ind w:firstLine="480" w:firstLineChars="200"/>
        <w:rPr>
          <w:rFonts w:hint="eastAsia"/>
          <w:sz w:val="24"/>
          <w:szCs w:val="24"/>
          <w:highlight w:val="none"/>
        </w:rPr>
      </w:pPr>
    </w:p>
    <w:p>
      <w:pPr>
        <w:spacing w:line="360" w:lineRule="auto"/>
        <w:ind w:firstLine="480" w:firstLineChars="200"/>
        <w:rPr>
          <w:sz w:val="24"/>
          <w:szCs w:val="24"/>
          <w:highlight w:val="none"/>
        </w:rPr>
      </w:pPr>
      <w:r>
        <w:rPr>
          <w:rFonts w:hint="eastAsia"/>
          <w:sz w:val="24"/>
          <w:szCs w:val="24"/>
          <w:highlight w:val="none"/>
        </w:rPr>
        <w:t>公司于202</w:t>
      </w:r>
      <w:r>
        <w:rPr>
          <w:rFonts w:hint="eastAsia"/>
          <w:sz w:val="24"/>
          <w:szCs w:val="24"/>
          <w:highlight w:val="none"/>
          <w:lang w:val="en-US" w:eastAsia="zh-CN"/>
        </w:rPr>
        <w:t>4</w:t>
      </w:r>
      <w:r>
        <w:rPr>
          <w:rFonts w:hint="eastAsia"/>
          <w:sz w:val="24"/>
          <w:szCs w:val="24"/>
          <w:highlight w:val="none"/>
        </w:rPr>
        <w:t>年</w:t>
      </w:r>
      <w:r>
        <w:rPr>
          <w:rFonts w:hint="eastAsia"/>
          <w:sz w:val="24"/>
          <w:szCs w:val="24"/>
          <w:highlight w:val="none"/>
          <w:lang w:val="en-US" w:eastAsia="zh-CN"/>
        </w:rPr>
        <w:t>2</w:t>
      </w:r>
      <w:r>
        <w:rPr>
          <w:rFonts w:hint="eastAsia"/>
          <w:sz w:val="24"/>
          <w:szCs w:val="24"/>
          <w:highlight w:val="none"/>
        </w:rPr>
        <w:t>月</w:t>
      </w:r>
      <w:r>
        <w:rPr>
          <w:rFonts w:hint="eastAsia"/>
          <w:sz w:val="24"/>
          <w:szCs w:val="24"/>
          <w:highlight w:val="none"/>
          <w:lang w:val="en-US" w:eastAsia="zh-CN"/>
        </w:rPr>
        <w:t>6</w:t>
      </w:r>
      <w:r>
        <w:rPr>
          <w:rFonts w:hint="eastAsia"/>
          <w:sz w:val="24"/>
          <w:szCs w:val="24"/>
          <w:highlight w:val="none"/>
        </w:rPr>
        <w:t>日召开第</w:t>
      </w:r>
      <w:r>
        <w:rPr>
          <w:rFonts w:hint="eastAsia"/>
          <w:sz w:val="24"/>
          <w:szCs w:val="24"/>
          <w:highlight w:val="none"/>
          <w:lang w:val="en-US" w:eastAsia="zh-CN"/>
        </w:rPr>
        <w:t>三</w:t>
      </w:r>
      <w:r>
        <w:rPr>
          <w:rFonts w:hint="eastAsia"/>
          <w:sz w:val="24"/>
          <w:szCs w:val="24"/>
          <w:highlight w:val="none"/>
        </w:rPr>
        <w:t>届董事会第十</w:t>
      </w:r>
      <w:r>
        <w:rPr>
          <w:rFonts w:hint="eastAsia"/>
          <w:sz w:val="24"/>
          <w:szCs w:val="24"/>
          <w:highlight w:val="none"/>
          <w:lang w:val="en-US" w:eastAsia="zh-CN"/>
        </w:rPr>
        <w:t>四</w:t>
      </w:r>
      <w:r>
        <w:rPr>
          <w:rFonts w:hint="eastAsia"/>
          <w:sz w:val="24"/>
          <w:szCs w:val="24"/>
          <w:highlight w:val="none"/>
        </w:rPr>
        <w:t>次会议、第</w:t>
      </w:r>
      <w:r>
        <w:rPr>
          <w:rFonts w:hint="eastAsia"/>
          <w:sz w:val="24"/>
          <w:szCs w:val="24"/>
          <w:highlight w:val="none"/>
          <w:lang w:val="en-US" w:eastAsia="zh-CN"/>
        </w:rPr>
        <w:t>三</w:t>
      </w:r>
      <w:r>
        <w:rPr>
          <w:rFonts w:hint="eastAsia"/>
          <w:sz w:val="24"/>
          <w:szCs w:val="24"/>
          <w:highlight w:val="none"/>
        </w:rPr>
        <w:t>届监事会第十</w:t>
      </w:r>
      <w:r>
        <w:rPr>
          <w:rFonts w:hint="eastAsia"/>
          <w:sz w:val="24"/>
          <w:szCs w:val="24"/>
          <w:highlight w:val="none"/>
          <w:lang w:val="en-US" w:eastAsia="zh-CN"/>
        </w:rPr>
        <w:t>四</w:t>
      </w:r>
      <w:r>
        <w:rPr>
          <w:rFonts w:hint="eastAsia"/>
          <w:sz w:val="24"/>
          <w:szCs w:val="24"/>
          <w:highlight w:val="none"/>
        </w:rPr>
        <w:t>次会议，审议通过了《关于回购公司股份方案的议案》</w:t>
      </w:r>
      <w:r>
        <w:rPr>
          <w:rFonts w:hint="eastAsia"/>
          <w:sz w:val="24"/>
          <w:szCs w:val="24"/>
          <w:highlight w:val="none"/>
          <w:lang w:eastAsia="zh-CN"/>
        </w:rPr>
        <w:t>。</w:t>
      </w:r>
      <w:r>
        <w:rPr>
          <w:rFonts w:hint="eastAsia"/>
          <w:sz w:val="24"/>
          <w:szCs w:val="24"/>
          <w:highlight w:val="none"/>
        </w:rPr>
        <w:t>根据《公司法》《证券法》《上市公司股份回购规则》《深圳证券交易所创业板股票上市规则》《深圳证券交易所上市公司自律监管指引第9号——回购股份》等相关规定，现将本回购方案的具体内容公告如下：</w:t>
      </w:r>
    </w:p>
    <w:p>
      <w:pPr>
        <w:spacing w:line="360" w:lineRule="auto"/>
        <w:ind w:firstLine="482" w:firstLineChars="200"/>
        <w:rPr>
          <w:b/>
          <w:bCs/>
          <w:sz w:val="24"/>
          <w:szCs w:val="24"/>
          <w:highlight w:val="none"/>
        </w:rPr>
      </w:pPr>
      <w:r>
        <w:rPr>
          <w:rFonts w:hint="eastAsia"/>
          <w:b/>
          <w:bCs/>
          <w:sz w:val="24"/>
          <w:szCs w:val="24"/>
          <w:highlight w:val="none"/>
        </w:rPr>
        <w:t>一、回购方案的主要内容</w:t>
      </w:r>
    </w:p>
    <w:p>
      <w:pPr>
        <w:spacing w:line="360" w:lineRule="auto"/>
        <w:ind w:firstLine="482" w:firstLineChars="200"/>
        <w:rPr>
          <w:b/>
          <w:bCs/>
          <w:sz w:val="24"/>
          <w:szCs w:val="24"/>
          <w:highlight w:val="none"/>
        </w:rPr>
      </w:pPr>
      <w:r>
        <w:rPr>
          <w:rFonts w:hint="eastAsia"/>
          <w:b/>
          <w:bCs/>
          <w:sz w:val="24"/>
          <w:szCs w:val="24"/>
          <w:highlight w:val="none"/>
        </w:rPr>
        <w:t>（一）回购股份的目的和用途</w:t>
      </w:r>
    </w:p>
    <w:p>
      <w:pPr>
        <w:spacing w:line="360" w:lineRule="auto"/>
        <w:ind w:firstLine="480" w:firstLineChars="200"/>
        <w:rPr>
          <w:sz w:val="24"/>
          <w:szCs w:val="24"/>
          <w:highlight w:val="none"/>
        </w:rPr>
      </w:pPr>
      <w:r>
        <w:rPr>
          <w:rFonts w:hint="eastAsia"/>
          <w:sz w:val="24"/>
          <w:szCs w:val="24"/>
          <w:highlight w:val="none"/>
        </w:rPr>
        <w:t>基于对公司未来发展前景信心以及对公司价值的高度认可，同时也为了增强投资者对公司的信心，维护广大投资者的利益，并进一步建立健全公司长效激励机制，充分调动公司管理人员和核心骨干的积极性，促进公司健康稳定长远发展，根据当前资本市场的实际情况，经充分考虑公司的财务状况、经营情况和发展战略等因素，公司拟使用自有资金以集中竞价交易方式回购部分股份，用于股权激励及/或员工持股计划。本次回购的股份应当在披露回购结果暨股份变动公告后三年内实施上述用途，如公司未能按上述用途实施，则尚未使用的已回购股份将依法注销并减少注册资本。</w:t>
      </w:r>
    </w:p>
    <w:p>
      <w:pPr>
        <w:spacing w:line="360" w:lineRule="auto"/>
        <w:ind w:firstLine="482" w:firstLineChars="200"/>
        <w:rPr>
          <w:b/>
          <w:bCs/>
          <w:sz w:val="24"/>
          <w:szCs w:val="24"/>
          <w:highlight w:val="none"/>
        </w:rPr>
      </w:pPr>
      <w:r>
        <w:rPr>
          <w:rFonts w:hint="eastAsia"/>
          <w:b/>
          <w:bCs/>
          <w:sz w:val="24"/>
          <w:szCs w:val="24"/>
          <w:highlight w:val="none"/>
        </w:rPr>
        <w:t>（二）回购股份符合相关条件</w:t>
      </w:r>
    </w:p>
    <w:p>
      <w:pPr>
        <w:spacing w:line="360" w:lineRule="auto"/>
        <w:ind w:firstLine="480" w:firstLineChars="200"/>
        <w:rPr>
          <w:sz w:val="24"/>
          <w:szCs w:val="24"/>
          <w:highlight w:val="none"/>
        </w:rPr>
      </w:pPr>
      <w:r>
        <w:rPr>
          <w:rFonts w:hint="eastAsia"/>
          <w:sz w:val="24"/>
          <w:szCs w:val="24"/>
          <w:highlight w:val="none"/>
        </w:rPr>
        <w:t>公司本次回购股份符合《深圳证券交易所上市公司自律监管指引第9号——回购股份》第十条规定的条件：</w:t>
      </w:r>
    </w:p>
    <w:p>
      <w:pPr>
        <w:spacing w:line="360" w:lineRule="auto"/>
        <w:ind w:firstLine="480" w:firstLineChars="200"/>
        <w:rPr>
          <w:rFonts w:hint="eastAsia"/>
          <w:sz w:val="24"/>
          <w:szCs w:val="24"/>
          <w:highlight w:val="none"/>
        </w:rPr>
      </w:pPr>
      <w:r>
        <w:rPr>
          <w:rFonts w:hint="eastAsia"/>
          <w:sz w:val="24"/>
          <w:szCs w:val="24"/>
          <w:highlight w:val="none"/>
          <w:lang w:val="en-US" w:eastAsia="zh-CN"/>
        </w:rPr>
        <w:t>1、</w:t>
      </w:r>
      <w:r>
        <w:rPr>
          <w:rFonts w:hint="eastAsia"/>
          <w:sz w:val="24"/>
          <w:szCs w:val="24"/>
          <w:highlight w:val="none"/>
        </w:rPr>
        <w:t>公司股票上市已满六个月。</w:t>
      </w:r>
    </w:p>
    <w:p>
      <w:pPr>
        <w:spacing w:line="360" w:lineRule="auto"/>
        <w:ind w:firstLine="480" w:firstLineChars="200"/>
        <w:rPr>
          <w:rFonts w:hint="eastAsia"/>
          <w:sz w:val="24"/>
          <w:szCs w:val="24"/>
          <w:highlight w:val="none"/>
        </w:rPr>
      </w:pPr>
      <w:r>
        <w:rPr>
          <w:rFonts w:hint="eastAsia"/>
          <w:sz w:val="24"/>
          <w:szCs w:val="24"/>
          <w:highlight w:val="none"/>
          <w:lang w:val="en-US" w:eastAsia="zh-CN"/>
        </w:rPr>
        <w:t>2、</w:t>
      </w:r>
      <w:r>
        <w:rPr>
          <w:rFonts w:hint="eastAsia"/>
          <w:sz w:val="24"/>
          <w:szCs w:val="24"/>
          <w:highlight w:val="none"/>
        </w:rPr>
        <w:t>公司最近一年无重大违法行为。</w:t>
      </w:r>
    </w:p>
    <w:p>
      <w:pPr>
        <w:spacing w:line="360" w:lineRule="auto"/>
        <w:ind w:firstLine="480" w:firstLineChars="200"/>
        <w:rPr>
          <w:rFonts w:hint="eastAsia"/>
          <w:sz w:val="24"/>
          <w:szCs w:val="24"/>
          <w:highlight w:val="none"/>
        </w:rPr>
      </w:pPr>
      <w:r>
        <w:rPr>
          <w:rFonts w:hint="eastAsia"/>
          <w:sz w:val="24"/>
          <w:szCs w:val="24"/>
          <w:highlight w:val="none"/>
          <w:lang w:val="en-US" w:eastAsia="zh-CN"/>
        </w:rPr>
        <w:t>3、</w:t>
      </w:r>
      <w:r>
        <w:rPr>
          <w:rFonts w:hint="eastAsia"/>
          <w:sz w:val="24"/>
          <w:szCs w:val="24"/>
          <w:highlight w:val="none"/>
        </w:rPr>
        <w:t>回购股份后，公司具备债务履行能力和持续经营能力。</w:t>
      </w:r>
    </w:p>
    <w:p>
      <w:pPr>
        <w:spacing w:line="360" w:lineRule="auto"/>
        <w:ind w:firstLine="480" w:firstLineChars="200"/>
        <w:rPr>
          <w:rFonts w:hint="eastAsia"/>
          <w:sz w:val="24"/>
          <w:szCs w:val="24"/>
          <w:highlight w:val="none"/>
        </w:rPr>
      </w:pPr>
      <w:r>
        <w:rPr>
          <w:rFonts w:hint="eastAsia"/>
          <w:sz w:val="24"/>
          <w:szCs w:val="24"/>
          <w:highlight w:val="none"/>
          <w:lang w:val="en-US" w:eastAsia="zh-CN"/>
        </w:rPr>
        <w:t>4、</w:t>
      </w:r>
      <w:r>
        <w:rPr>
          <w:rFonts w:hint="eastAsia"/>
          <w:sz w:val="24"/>
          <w:szCs w:val="24"/>
          <w:highlight w:val="none"/>
        </w:rPr>
        <w:t>回购股份后，公司的股权分布原则上应当符合上市条件；公司拟通过回购股份终止其股票上市交易的，应当符合相关规定并经本所同意。</w:t>
      </w:r>
    </w:p>
    <w:p>
      <w:pPr>
        <w:spacing w:line="360" w:lineRule="auto"/>
        <w:ind w:firstLine="480" w:firstLineChars="200"/>
        <w:rPr>
          <w:rFonts w:hint="eastAsia"/>
          <w:sz w:val="24"/>
          <w:szCs w:val="24"/>
          <w:highlight w:val="none"/>
        </w:rPr>
      </w:pPr>
      <w:r>
        <w:rPr>
          <w:rFonts w:hint="eastAsia"/>
          <w:sz w:val="24"/>
          <w:szCs w:val="24"/>
          <w:highlight w:val="none"/>
          <w:lang w:val="en-US" w:eastAsia="zh-CN"/>
        </w:rPr>
        <w:t>5、</w:t>
      </w:r>
      <w:r>
        <w:rPr>
          <w:rFonts w:hint="eastAsia"/>
          <w:sz w:val="24"/>
          <w:szCs w:val="24"/>
          <w:highlight w:val="none"/>
        </w:rPr>
        <w:t>中国证监会和本所规定的其他条件。</w:t>
      </w:r>
    </w:p>
    <w:p>
      <w:pPr>
        <w:spacing w:line="360" w:lineRule="auto"/>
        <w:ind w:firstLine="482" w:firstLineChars="200"/>
        <w:rPr>
          <w:b/>
          <w:bCs/>
          <w:sz w:val="24"/>
          <w:szCs w:val="24"/>
          <w:highlight w:val="none"/>
        </w:rPr>
      </w:pPr>
      <w:r>
        <w:rPr>
          <w:rFonts w:hint="eastAsia"/>
          <w:b/>
          <w:bCs/>
          <w:sz w:val="24"/>
          <w:szCs w:val="24"/>
          <w:highlight w:val="none"/>
        </w:rPr>
        <w:t>（三）拟回购股份的方式</w:t>
      </w:r>
    </w:p>
    <w:p>
      <w:pPr>
        <w:spacing w:line="360" w:lineRule="auto"/>
        <w:ind w:firstLine="480" w:firstLineChars="200"/>
        <w:rPr>
          <w:sz w:val="24"/>
          <w:szCs w:val="24"/>
          <w:highlight w:val="none"/>
        </w:rPr>
      </w:pPr>
      <w:r>
        <w:rPr>
          <w:rFonts w:hint="eastAsia"/>
          <w:sz w:val="24"/>
          <w:szCs w:val="24"/>
          <w:highlight w:val="none"/>
        </w:rPr>
        <w:t>本次回购股份将以集中竞价交易方式进行。</w:t>
      </w:r>
    </w:p>
    <w:p>
      <w:pPr>
        <w:spacing w:line="360" w:lineRule="auto"/>
        <w:ind w:firstLine="482" w:firstLineChars="200"/>
        <w:rPr>
          <w:b/>
          <w:bCs/>
          <w:sz w:val="24"/>
          <w:szCs w:val="24"/>
          <w:highlight w:val="none"/>
        </w:rPr>
      </w:pPr>
      <w:r>
        <w:rPr>
          <w:rFonts w:hint="eastAsia"/>
          <w:b/>
          <w:bCs/>
          <w:sz w:val="24"/>
          <w:szCs w:val="24"/>
          <w:highlight w:val="none"/>
        </w:rPr>
        <w:t>（四）拟回购股份的价格区间</w:t>
      </w:r>
    </w:p>
    <w:p>
      <w:pPr>
        <w:spacing w:line="360" w:lineRule="auto"/>
        <w:ind w:firstLine="480" w:firstLineChars="200"/>
        <w:rPr>
          <w:sz w:val="24"/>
          <w:szCs w:val="24"/>
          <w:highlight w:val="none"/>
        </w:rPr>
      </w:pPr>
      <w:r>
        <w:rPr>
          <w:rFonts w:hint="eastAsia"/>
          <w:sz w:val="24"/>
          <w:szCs w:val="24"/>
          <w:highlight w:val="none"/>
        </w:rPr>
        <w:t>本次回购股份价格上限为不超过人民币</w:t>
      </w:r>
      <w:r>
        <w:rPr>
          <w:rFonts w:hint="eastAsia"/>
          <w:sz w:val="24"/>
          <w:szCs w:val="24"/>
          <w:highlight w:val="none"/>
          <w:lang w:val="en-US" w:eastAsia="zh-CN"/>
        </w:rPr>
        <w:t>28.80</w:t>
      </w:r>
      <w:r>
        <w:rPr>
          <w:rFonts w:hint="eastAsia"/>
          <w:sz w:val="24"/>
          <w:szCs w:val="24"/>
          <w:highlight w:val="none"/>
        </w:rPr>
        <w:t>元/股，该回购价格上限未超过董事会通过回购股份决议前三十个交易日股票交易均价的150%。具体回购价格根据公司二级市场股票价格、公司资金状况确定。自董事会通过本次回购方案之日起至回购完成前，若公司实施资本公积转增股本、派发股票或现金红利、股票拆细、缩股及其他等除权除息事项，自股价除权除息之日起，按照中国证监会及深圳证券交易所的相关规定相应调整回购股份价格上限。</w:t>
      </w:r>
    </w:p>
    <w:p>
      <w:pPr>
        <w:spacing w:line="360" w:lineRule="auto"/>
        <w:ind w:firstLine="482" w:firstLineChars="200"/>
        <w:rPr>
          <w:b/>
          <w:bCs/>
          <w:sz w:val="24"/>
          <w:szCs w:val="24"/>
          <w:highlight w:val="none"/>
        </w:rPr>
      </w:pPr>
      <w:r>
        <w:rPr>
          <w:rFonts w:hint="eastAsia"/>
          <w:b/>
          <w:bCs/>
          <w:sz w:val="24"/>
          <w:szCs w:val="24"/>
          <w:highlight w:val="none"/>
        </w:rPr>
        <w:t>（五）拟回购股份的种类</w:t>
      </w:r>
    </w:p>
    <w:p>
      <w:pPr>
        <w:spacing w:line="360" w:lineRule="auto"/>
        <w:ind w:firstLine="480" w:firstLineChars="200"/>
        <w:rPr>
          <w:sz w:val="24"/>
          <w:szCs w:val="24"/>
          <w:highlight w:val="none"/>
        </w:rPr>
      </w:pPr>
      <w:r>
        <w:rPr>
          <w:rFonts w:hint="eastAsia"/>
          <w:sz w:val="24"/>
          <w:szCs w:val="24"/>
          <w:highlight w:val="none"/>
        </w:rPr>
        <w:t>本次回购股份的种类为公司已发行的人民币普通股（A股）股票。</w:t>
      </w:r>
    </w:p>
    <w:p>
      <w:pPr>
        <w:spacing w:line="360" w:lineRule="auto"/>
        <w:ind w:firstLine="482" w:firstLineChars="200"/>
        <w:rPr>
          <w:b/>
          <w:bCs/>
          <w:sz w:val="24"/>
          <w:szCs w:val="24"/>
          <w:highlight w:val="none"/>
        </w:rPr>
      </w:pPr>
      <w:r>
        <w:rPr>
          <w:rFonts w:hint="eastAsia"/>
          <w:b/>
          <w:bCs/>
          <w:sz w:val="24"/>
          <w:szCs w:val="24"/>
          <w:highlight w:val="none"/>
        </w:rPr>
        <w:t>（六）拟回购股份的用途</w:t>
      </w:r>
    </w:p>
    <w:p>
      <w:pPr>
        <w:spacing w:line="360" w:lineRule="auto"/>
        <w:ind w:firstLine="480" w:firstLineChars="200"/>
        <w:rPr>
          <w:sz w:val="24"/>
          <w:szCs w:val="24"/>
          <w:highlight w:val="none"/>
        </w:rPr>
      </w:pPr>
      <w:r>
        <w:rPr>
          <w:rFonts w:hint="eastAsia"/>
          <w:sz w:val="24"/>
          <w:szCs w:val="24"/>
          <w:highlight w:val="none"/>
        </w:rPr>
        <w:t>本次回购的股份拟用于实施股权激励及/或员工持股计划。公司如未能在股份回购实施完成日之后三年内使用完毕已回购股份，尚未使用的已回购股份将履行相关程序予以注销。如中国证监会或深圳证券交易所对相关政策作调整，则本回购方案按调整后的政策实施。</w:t>
      </w:r>
    </w:p>
    <w:p>
      <w:pPr>
        <w:spacing w:line="360" w:lineRule="auto"/>
        <w:ind w:firstLine="482" w:firstLineChars="200"/>
        <w:rPr>
          <w:b/>
          <w:bCs/>
          <w:sz w:val="24"/>
          <w:szCs w:val="24"/>
          <w:highlight w:val="none"/>
        </w:rPr>
      </w:pPr>
      <w:r>
        <w:rPr>
          <w:rFonts w:hint="eastAsia"/>
          <w:b/>
          <w:bCs/>
          <w:sz w:val="24"/>
          <w:szCs w:val="24"/>
          <w:highlight w:val="none"/>
        </w:rPr>
        <w:t>（七）回购股份的数量、占公司总股本的比例及拟用于回购的资金总额</w:t>
      </w:r>
    </w:p>
    <w:p>
      <w:pPr>
        <w:spacing w:line="360" w:lineRule="auto"/>
        <w:ind w:firstLine="480" w:firstLineChars="200"/>
        <w:rPr>
          <w:sz w:val="24"/>
          <w:szCs w:val="24"/>
          <w:highlight w:val="none"/>
        </w:rPr>
      </w:pPr>
      <w:r>
        <w:rPr>
          <w:rFonts w:hint="eastAsia"/>
          <w:sz w:val="24"/>
          <w:szCs w:val="24"/>
          <w:highlight w:val="none"/>
        </w:rPr>
        <w:t>公司本次回购股份拟使用资金总额不低于人民币</w:t>
      </w:r>
      <w:r>
        <w:rPr>
          <w:rFonts w:hint="eastAsia"/>
          <w:sz w:val="24"/>
          <w:szCs w:val="24"/>
          <w:highlight w:val="none"/>
          <w:lang w:val="en-US" w:eastAsia="zh-CN"/>
        </w:rPr>
        <w:t>3</w:t>
      </w:r>
      <w:r>
        <w:rPr>
          <w:sz w:val="24"/>
          <w:szCs w:val="24"/>
          <w:highlight w:val="none"/>
        </w:rPr>
        <w:t>,000</w:t>
      </w:r>
      <w:r>
        <w:rPr>
          <w:rFonts w:hint="eastAsia"/>
          <w:sz w:val="24"/>
          <w:szCs w:val="24"/>
          <w:highlight w:val="none"/>
        </w:rPr>
        <w:t>万元（含），不超过人民币</w:t>
      </w:r>
      <w:r>
        <w:rPr>
          <w:rFonts w:hint="eastAsia"/>
          <w:sz w:val="24"/>
          <w:szCs w:val="24"/>
          <w:highlight w:val="none"/>
          <w:lang w:val="en-US" w:eastAsia="zh-CN"/>
        </w:rPr>
        <w:t>6</w:t>
      </w:r>
      <w:r>
        <w:rPr>
          <w:sz w:val="24"/>
          <w:szCs w:val="24"/>
          <w:highlight w:val="none"/>
        </w:rPr>
        <w:t>,000</w:t>
      </w:r>
      <w:r>
        <w:rPr>
          <w:rFonts w:hint="eastAsia"/>
          <w:sz w:val="24"/>
          <w:szCs w:val="24"/>
          <w:highlight w:val="none"/>
        </w:rPr>
        <w:t>万元（含）。按回购资金总额下限人民币</w:t>
      </w:r>
      <w:r>
        <w:rPr>
          <w:rFonts w:hint="eastAsia"/>
          <w:sz w:val="24"/>
          <w:szCs w:val="24"/>
          <w:highlight w:val="none"/>
          <w:lang w:val="en-US" w:eastAsia="zh-CN"/>
        </w:rPr>
        <w:t>3</w:t>
      </w:r>
      <w:r>
        <w:rPr>
          <w:sz w:val="24"/>
          <w:szCs w:val="24"/>
          <w:highlight w:val="none"/>
        </w:rPr>
        <w:t>,000</w:t>
      </w:r>
      <w:r>
        <w:rPr>
          <w:rFonts w:hint="eastAsia"/>
          <w:sz w:val="24"/>
          <w:szCs w:val="24"/>
          <w:highlight w:val="none"/>
        </w:rPr>
        <w:t>万元、回购价格上限</w:t>
      </w:r>
      <w:r>
        <w:rPr>
          <w:rFonts w:hint="eastAsia"/>
          <w:sz w:val="24"/>
          <w:szCs w:val="24"/>
          <w:highlight w:val="none"/>
          <w:lang w:val="en-US" w:eastAsia="zh-CN"/>
        </w:rPr>
        <w:t>28.80</w:t>
      </w:r>
      <w:r>
        <w:rPr>
          <w:rFonts w:hint="eastAsia"/>
          <w:sz w:val="24"/>
          <w:szCs w:val="24"/>
          <w:highlight w:val="none"/>
        </w:rPr>
        <w:t>元/股进行测算，预计回购股份为1,041,667股，约占公司目前已发行总股本的</w:t>
      </w:r>
      <w:r>
        <w:rPr>
          <w:rFonts w:hint="eastAsia"/>
          <w:sz w:val="24"/>
          <w:szCs w:val="24"/>
          <w:highlight w:val="none"/>
          <w:lang w:eastAsia="zh-CN"/>
        </w:rPr>
        <w:t>0.45%</w:t>
      </w:r>
      <w:r>
        <w:rPr>
          <w:rFonts w:hint="eastAsia"/>
          <w:sz w:val="24"/>
          <w:szCs w:val="24"/>
          <w:highlight w:val="none"/>
        </w:rPr>
        <w:t>；按回购资金总额上限人民币</w:t>
      </w:r>
      <w:r>
        <w:rPr>
          <w:rFonts w:hint="eastAsia"/>
          <w:sz w:val="24"/>
          <w:szCs w:val="24"/>
          <w:highlight w:val="none"/>
          <w:lang w:val="en-US" w:eastAsia="zh-CN"/>
        </w:rPr>
        <w:t>6</w:t>
      </w:r>
      <w:r>
        <w:rPr>
          <w:rFonts w:hint="eastAsia"/>
          <w:sz w:val="24"/>
          <w:szCs w:val="24"/>
          <w:highlight w:val="none"/>
        </w:rPr>
        <w:t>,</w:t>
      </w:r>
      <w:r>
        <w:rPr>
          <w:sz w:val="24"/>
          <w:szCs w:val="24"/>
          <w:highlight w:val="none"/>
        </w:rPr>
        <w:t>000</w:t>
      </w:r>
      <w:r>
        <w:rPr>
          <w:rFonts w:hint="eastAsia"/>
          <w:sz w:val="24"/>
          <w:szCs w:val="24"/>
          <w:highlight w:val="none"/>
        </w:rPr>
        <w:t>万元、回购价格上限</w:t>
      </w:r>
      <w:r>
        <w:rPr>
          <w:rFonts w:hint="eastAsia"/>
          <w:sz w:val="24"/>
          <w:szCs w:val="24"/>
          <w:highlight w:val="none"/>
          <w:lang w:val="en-US" w:eastAsia="zh-CN"/>
        </w:rPr>
        <w:t>28.80</w:t>
      </w:r>
      <w:r>
        <w:rPr>
          <w:rFonts w:hint="eastAsia"/>
          <w:sz w:val="24"/>
          <w:szCs w:val="24"/>
          <w:highlight w:val="none"/>
        </w:rPr>
        <w:t>元/股进行测算，预计回购股份为2,083,333股，约占公司目前已发行总股本的</w:t>
      </w:r>
      <w:r>
        <w:rPr>
          <w:rFonts w:hint="eastAsia"/>
          <w:sz w:val="24"/>
          <w:szCs w:val="24"/>
          <w:highlight w:val="none"/>
          <w:lang w:val="en-US" w:eastAsia="zh-CN"/>
        </w:rPr>
        <w:t>0.90%</w:t>
      </w:r>
      <w:r>
        <w:rPr>
          <w:rFonts w:hint="eastAsia"/>
          <w:sz w:val="24"/>
          <w:szCs w:val="24"/>
          <w:highlight w:val="none"/>
          <w:lang w:eastAsia="zh-CN"/>
        </w:rPr>
        <w:t>。</w:t>
      </w:r>
      <w:r>
        <w:rPr>
          <w:rFonts w:hint="eastAsia"/>
          <w:sz w:val="24"/>
          <w:szCs w:val="24"/>
          <w:highlight w:val="none"/>
        </w:rPr>
        <w:t>具体回购股份的数量以回购期满时实际回购的股份数量为准。若公司在回购期间内实施了送股、资本公积金转增股本、现金分红、配股等除权除息事项，自股价除权除息之日起，相应调整回购价格上限，回购股份数量和占公司总股本的比例等指标亦相应调整。</w:t>
      </w:r>
    </w:p>
    <w:p>
      <w:pPr>
        <w:numPr>
          <w:ilvl w:val="0"/>
          <w:numId w:val="1"/>
        </w:numPr>
        <w:spacing w:line="360" w:lineRule="auto"/>
        <w:ind w:firstLine="482" w:firstLineChars="200"/>
        <w:rPr>
          <w:rFonts w:hint="eastAsia"/>
          <w:b/>
          <w:bCs/>
          <w:sz w:val="24"/>
          <w:szCs w:val="24"/>
          <w:highlight w:val="none"/>
        </w:rPr>
      </w:pPr>
      <w:r>
        <w:rPr>
          <w:rFonts w:hint="eastAsia"/>
          <w:b/>
          <w:bCs/>
          <w:sz w:val="24"/>
          <w:szCs w:val="24"/>
          <w:highlight w:val="none"/>
        </w:rPr>
        <w:t>回购股份的资金来源</w:t>
      </w:r>
    </w:p>
    <w:p>
      <w:pPr>
        <w:numPr>
          <w:ilvl w:val="-1"/>
          <w:numId w:val="0"/>
        </w:numPr>
        <w:spacing w:line="360" w:lineRule="auto"/>
        <w:ind w:firstLine="480" w:firstLineChars="200"/>
        <w:rPr>
          <w:b/>
          <w:bCs/>
          <w:sz w:val="24"/>
          <w:szCs w:val="24"/>
          <w:highlight w:val="none"/>
        </w:rPr>
      </w:pPr>
      <w:r>
        <w:rPr>
          <w:rFonts w:hint="eastAsia"/>
          <w:b w:val="0"/>
          <w:bCs w:val="0"/>
          <w:sz w:val="24"/>
          <w:szCs w:val="24"/>
          <w:highlight w:val="none"/>
        </w:rPr>
        <w:t>本次回购股份的资金来源为公司自有资金。</w:t>
      </w:r>
    </w:p>
    <w:p>
      <w:pPr>
        <w:spacing w:line="360" w:lineRule="auto"/>
        <w:ind w:firstLine="482" w:firstLineChars="200"/>
        <w:rPr>
          <w:b/>
          <w:bCs/>
          <w:sz w:val="24"/>
          <w:szCs w:val="24"/>
          <w:highlight w:val="none"/>
        </w:rPr>
      </w:pPr>
      <w:r>
        <w:rPr>
          <w:rFonts w:hint="eastAsia"/>
          <w:b/>
          <w:bCs/>
          <w:sz w:val="24"/>
          <w:szCs w:val="24"/>
          <w:highlight w:val="none"/>
        </w:rPr>
        <w:t>（九）回购股份的实施期限</w:t>
      </w:r>
    </w:p>
    <w:p>
      <w:pPr>
        <w:spacing w:line="360" w:lineRule="auto"/>
        <w:ind w:firstLine="480" w:firstLineChars="200"/>
        <w:rPr>
          <w:sz w:val="24"/>
          <w:szCs w:val="24"/>
          <w:highlight w:val="none"/>
        </w:rPr>
      </w:pPr>
      <w:r>
        <w:rPr>
          <w:rFonts w:hint="eastAsia"/>
          <w:sz w:val="24"/>
          <w:szCs w:val="24"/>
          <w:highlight w:val="none"/>
        </w:rPr>
        <w:t>1、公司本次回购的实施期限为自董事会审议通过本回购方案之日起不超过12个月，如果触及以下条件，则回购期限提前届满，本回购方案实施完毕：</w:t>
      </w:r>
    </w:p>
    <w:p>
      <w:pPr>
        <w:spacing w:line="360" w:lineRule="auto"/>
        <w:ind w:firstLine="480" w:firstLineChars="200"/>
        <w:rPr>
          <w:sz w:val="24"/>
          <w:szCs w:val="24"/>
          <w:highlight w:val="none"/>
        </w:rPr>
      </w:pPr>
      <w:r>
        <w:rPr>
          <w:rFonts w:hint="eastAsia"/>
          <w:sz w:val="24"/>
          <w:szCs w:val="24"/>
          <w:highlight w:val="none"/>
        </w:rPr>
        <w:t>（1）在回购期限内，如果回购资金总额达到可执行最高限额（差额资金不足以回购1手股份），则回购方案实施完毕，即回购期限自该日起提前届满；</w:t>
      </w:r>
    </w:p>
    <w:p>
      <w:pPr>
        <w:spacing w:line="360" w:lineRule="auto"/>
        <w:ind w:firstLine="480" w:firstLineChars="200"/>
        <w:rPr>
          <w:sz w:val="24"/>
          <w:szCs w:val="24"/>
          <w:highlight w:val="none"/>
        </w:rPr>
      </w:pPr>
      <w:r>
        <w:rPr>
          <w:rFonts w:hint="eastAsia"/>
          <w:sz w:val="24"/>
          <w:szCs w:val="24"/>
          <w:highlight w:val="none"/>
        </w:rPr>
        <w:t>（2）如公司董事会决定终止本回购方案，则回购期限自董事会决议终止本回购方案之日起提前届满；</w:t>
      </w:r>
    </w:p>
    <w:p>
      <w:pPr>
        <w:spacing w:line="360" w:lineRule="auto"/>
        <w:ind w:firstLine="480" w:firstLineChars="200"/>
        <w:rPr>
          <w:sz w:val="24"/>
          <w:szCs w:val="24"/>
          <w:highlight w:val="none"/>
        </w:rPr>
      </w:pPr>
      <w:r>
        <w:rPr>
          <w:rFonts w:hint="eastAsia"/>
          <w:sz w:val="24"/>
          <w:szCs w:val="24"/>
          <w:highlight w:val="none"/>
        </w:rPr>
        <w:t>（3）回购方案实施期间，公司股票因筹划重大事项连续停牌十个交易日以上的，回购期限可予以顺延，顺延后不得超出中国证监会及深圳证券交易所规定的最长期限，公司将及时披露是否顺延实施。</w:t>
      </w:r>
    </w:p>
    <w:p>
      <w:pPr>
        <w:spacing w:line="360" w:lineRule="auto"/>
        <w:ind w:firstLine="480" w:firstLineChars="200"/>
        <w:rPr>
          <w:sz w:val="24"/>
          <w:szCs w:val="24"/>
          <w:highlight w:val="none"/>
        </w:rPr>
      </w:pPr>
      <w:r>
        <w:rPr>
          <w:rFonts w:hint="eastAsia"/>
          <w:sz w:val="24"/>
          <w:szCs w:val="24"/>
          <w:highlight w:val="none"/>
        </w:rPr>
        <w:t>2、公司不得在下述期间回购公司股票：</w:t>
      </w:r>
    </w:p>
    <w:p>
      <w:pPr>
        <w:spacing w:line="360" w:lineRule="auto"/>
        <w:ind w:firstLine="480" w:firstLineChars="200"/>
        <w:rPr>
          <w:rFonts w:hint="eastAsia"/>
          <w:sz w:val="24"/>
          <w:szCs w:val="24"/>
          <w:highlight w:val="none"/>
        </w:rPr>
      </w:pPr>
      <w:r>
        <w:rPr>
          <w:rFonts w:hint="eastAsia"/>
          <w:sz w:val="24"/>
          <w:szCs w:val="24"/>
          <w:highlight w:val="none"/>
        </w:rPr>
        <w:t>（</w:t>
      </w:r>
      <w:r>
        <w:rPr>
          <w:rFonts w:hint="eastAsia"/>
          <w:sz w:val="24"/>
          <w:szCs w:val="24"/>
          <w:highlight w:val="none"/>
          <w:lang w:val="en-US" w:eastAsia="zh-CN"/>
        </w:rPr>
        <w:t>1</w:t>
      </w:r>
      <w:r>
        <w:rPr>
          <w:rFonts w:hint="eastAsia"/>
          <w:sz w:val="24"/>
          <w:szCs w:val="24"/>
          <w:highlight w:val="none"/>
        </w:rPr>
        <w:t>）自可能对本公司证券及其衍生品种交易价格产生重大影响的重大事项发生之日或者在决策过程中，至依法披露之日内；</w:t>
      </w:r>
    </w:p>
    <w:p>
      <w:pPr>
        <w:spacing w:line="360" w:lineRule="auto"/>
        <w:ind w:firstLine="480" w:firstLineChars="200"/>
        <w:rPr>
          <w:rFonts w:hint="eastAsia"/>
          <w:sz w:val="24"/>
          <w:szCs w:val="24"/>
          <w:highlight w:val="none"/>
        </w:rPr>
      </w:pPr>
      <w:r>
        <w:rPr>
          <w:rFonts w:hint="eastAsia"/>
          <w:sz w:val="24"/>
          <w:szCs w:val="24"/>
          <w:highlight w:val="none"/>
        </w:rPr>
        <w:t>（</w:t>
      </w:r>
      <w:r>
        <w:rPr>
          <w:rFonts w:hint="eastAsia"/>
          <w:sz w:val="24"/>
          <w:szCs w:val="24"/>
          <w:highlight w:val="none"/>
          <w:lang w:val="en-US" w:eastAsia="zh-CN"/>
        </w:rPr>
        <w:t>2</w:t>
      </w:r>
      <w:r>
        <w:rPr>
          <w:rFonts w:hint="eastAsia"/>
          <w:sz w:val="24"/>
          <w:szCs w:val="24"/>
          <w:highlight w:val="none"/>
        </w:rPr>
        <w:t>）中国证监会、深圳证券交易所规定的其他情形。</w:t>
      </w:r>
    </w:p>
    <w:p>
      <w:pPr>
        <w:numPr>
          <w:ilvl w:val="0"/>
          <w:numId w:val="2"/>
        </w:numPr>
        <w:spacing w:line="360" w:lineRule="auto"/>
        <w:ind w:firstLine="480" w:firstLineChars="200"/>
        <w:rPr>
          <w:rFonts w:hint="eastAsia"/>
          <w:sz w:val="24"/>
          <w:szCs w:val="24"/>
          <w:highlight w:val="none"/>
        </w:rPr>
      </w:pPr>
      <w:r>
        <w:rPr>
          <w:rFonts w:hint="eastAsia"/>
          <w:sz w:val="24"/>
          <w:szCs w:val="24"/>
          <w:highlight w:val="none"/>
        </w:rPr>
        <w:t>公司本次回购股份交易申报应当符合下列要求：</w:t>
      </w:r>
    </w:p>
    <w:p>
      <w:pPr>
        <w:spacing w:line="360" w:lineRule="auto"/>
        <w:ind w:firstLine="480" w:firstLineChars="200"/>
        <w:rPr>
          <w:rFonts w:hint="eastAsia"/>
          <w:sz w:val="24"/>
          <w:szCs w:val="24"/>
          <w:highlight w:val="none"/>
        </w:rPr>
      </w:pPr>
      <w:r>
        <w:rPr>
          <w:rFonts w:hint="eastAsia"/>
          <w:sz w:val="24"/>
          <w:szCs w:val="24"/>
          <w:highlight w:val="none"/>
        </w:rPr>
        <w:t>（</w:t>
      </w:r>
      <w:r>
        <w:rPr>
          <w:rFonts w:hint="eastAsia"/>
          <w:sz w:val="24"/>
          <w:szCs w:val="24"/>
          <w:highlight w:val="none"/>
          <w:lang w:val="en-US" w:eastAsia="zh-CN"/>
        </w:rPr>
        <w:t>1</w:t>
      </w:r>
      <w:r>
        <w:rPr>
          <w:rFonts w:hint="eastAsia"/>
          <w:sz w:val="24"/>
          <w:szCs w:val="24"/>
          <w:highlight w:val="none"/>
        </w:rPr>
        <w:t>）委托价格不得为公司股票当日交易涨幅限制的价格；</w:t>
      </w:r>
    </w:p>
    <w:p>
      <w:pPr>
        <w:spacing w:line="360" w:lineRule="auto"/>
        <w:ind w:firstLine="480" w:firstLineChars="200"/>
        <w:rPr>
          <w:rFonts w:hint="eastAsia"/>
          <w:sz w:val="24"/>
          <w:szCs w:val="24"/>
          <w:highlight w:val="none"/>
          <w:lang w:eastAsia="zh-CN"/>
        </w:rPr>
      </w:pPr>
      <w:r>
        <w:rPr>
          <w:rFonts w:hint="eastAsia"/>
          <w:sz w:val="24"/>
          <w:szCs w:val="24"/>
          <w:highlight w:val="none"/>
        </w:rPr>
        <w:t>（</w:t>
      </w:r>
      <w:r>
        <w:rPr>
          <w:rFonts w:hint="eastAsia"/>
          <w:sz w:val="24"/>
          <w:szCs w:val="24"/>
          <w:highlight w:val="none"/>
          <w:lang w:val="en-US" w:eastAsia="zh-CN"/>
        </w:rPr>
        <w:t>2</w:t>
      </w:r>
      <w:r>
        <w:rPr>
          <w:rFonts w:hint="eastAsia"/>
          <w:sz w:val="24"/>
          <w:szCs w:val="24"/>
          <w:highlight w:val="none"/>
        </w:rPr>
        <w:t>）不得在本所开盘集合竞价、收盘集合竞价及股票价格无涨跌幅限制的交易日内进行股份回购的委托</w:t>
      </w:r>
      <w:r>
        <w:rPr>
          <w:rFonts w:hint="eastAsia"/>
          <w:sz w:val="24"/>
          <w:szCs w:val="24"/>
          <w:highlight w:val="none"/>
          <w:lang w:eastAsia="zh-CN"/>
        </w:rPr>
        <w:t>。</w:t>
      </w:r>
    </w:p>
    <w:p>
      <w:pPr>
        <w:ind w:firstLineChars="200"/>
        <w:rPr>
          <w:rFonts w:hint="eastAsia"/>
          <w:sz w:val="24"/>
          <w:szCs w:val="24"/>
          <w:highlight w:val="none"/>
        </w:rPr>
      </w:pPr>
      <w:r>
        <w:rPr>
          <w:rFonts w:hint="eastAsia"/>
          <w:sz w:val="24"/>
          <w:szCs w:val="24"/>
          <w:highlight w:val="none"/>
        </w:rPr>
        <w:t>（</w:t>
      </w:r>
      <w:r>
        <w:rPr>
          <w:rFonts w:hint="eastAsia"/>
          <w:sz w:val="24"/>
          <w:szCs w:val="24"/>
          <w:highlight w:val="none"/>
          <w:lang w:val="en-US" w:eastAsia="zh-CN"/>
        </w:rPr>
        <w:t>3</w:t>
      </w:r>
      <w:r>
        <w:rPr>
          <w:rFonts w:hint="eastAsia"/>
          <w:sz w:val="24"/>
          <w:szCs w:val="24"/>
          <w:highlight w:val="none"/>
        </w:rPr>
        <w:t>）中国证监会、深圳证券交易</w:t>
      </w:r>
      <w:r>
        <w:rPr>
          <w:rFonts w:hint="eastAsia"/>
          <w:sz w:val="24"/>
          <w:szCs w:val="24"/>
          <w:highlight w:val="none"/>
          <w:lang w:val="en-US" w:eastAsia="zh-CN"/>
        </w:rPr>
        <w:t>所</w:t>
      </w:r>
      <w:r>
        <w:rPr>
          <w:rFonts w:hint="eastAsia"/>
          <w:sz w:val="24"/>
          <w:szCs w:val="24"/>
          <w:highlight w:val="none"/>
        </w:rPr>
        <w:t>规定的其他要求。</w:t>
      </w:r>
    </w:p>
    <w:p>
      <w:pPr>
        <w:spacing w:line="360" w:lineRule="auto"/>
        <w:ind w:firstLine="482" w:firstLineChars="200"/>
        <w:rPr>
          <w:b/>
          <w:bCs/>
          <w:sz w:val="24"/>
          <w:szCs w:val="24"/>
          <w:highlight w:val="none"/>
        </w:rPr>
      </w:pPr>
      <w:r>
        <w:rPr>
          <w:rFonts w:hint="eastAsia"/>
          <w:b/>
          <w:bCs/>
          <w:sz w:val="24"/>
          <w:szCs w:val="24"/>
          <w:highlight w:val="none"/>
        </w:rPr>
        <w:t>（十）预计回购完成后公司股权结构的变动情况</w:t>
      </w:r>
    </w:p>
    <w:p>
      <w:pPr>
        <w:spacing w:line="360" w:lineRule="auto"/>
        <w:ind w:firstLine="480" w:firstLineChars="200"/>
        <w:rPr>
          <w:sz w:val="24"/>
          <w:szCs w:val="24"/>
          <w:highlight w:val="none"/>
        </w:rPr>
      </w:pPr>
      <w:r>
        <w:rPr>
          <w:rFonts w:hint="eastAsia"/>
          <w:sz w:val="24"/>
          <w:szCs w:val="24"/>
          <w:highlight w:val="none"/>
        </w:rPr>
        <w:t>1、假设按本次回购资金总额下限</w:t>
      </w:r>
      <w:r>
        <w:rPr>
          <w:rFonts w:hint="eastAsia"/>
          <w:sz w:val="24"/>
          <w:szCs w:val="24"/>
          <w:highlight w:val="none"/>
          <w:lang w:val="en-US" w:eastAsia="zh-CN"/>
        </w:rPr>
        <w:t>3</w:t>
      </w:r>
      <w:r>
        <w:rPr>
          <w:sz w:val="24"/>
          <w:szCs w:val="24"/>
          <w:highlight w:val="none"/>
        </w:rPr>
        <w:t>,000</w:t>
      </w:r>
      <w:r>
        <w:rPr>
          <w:rFonts w:hint="eastAsia"/>
          <w:sz w:val="24"/>
          <w:szCs w:val="24"/>
          <w:highlight w:val="none"/>
        </w:rPr>
        <w:t>万元，回购价格上限</w:t>
      </w:r>
      <w:r>
        <w:rPr>
          <w:rFonts w:hint="eastAsia"/>
          <w:sz w:val="24"/>
          <w:szCs w:val="24"/>
          <w:highlight w:val="none"/>
          <w:lang w:val="en-US" w:eastAsia="zh-CN"/>
        </w:rPr>
        <w:t>28.80</w:t>
      </w:r>
      <w:r>
        <w:rPr>
          <w:rFonts w:hint="eastAsia"/>
          <w:sz w:val="24"/>
          <w:szCs w:val="24"/>
          <w:highlight w:val="none"/>
        </w:rPr>
        <w:t>元/股，且本次回购全部实施完毕进行测算，回购数量为1,041,667股，约占公司总股本的</w:t>
      </w:r>
      <w:r>
        <w:rPr>
          <w:rFonts w:hint="eastAsia"/>
          <w:sz w:val="24"/>
          <w:szCs w:val="24"/>
          <w:highlight w:val="none"/>
          <w:lang w:eastAsia="zh-CN"/>
        </w:rPr>
        <w:t>0.45%</w:t>
      </w:r>
      <w:r>
        <w:rPr>
          <w:rFonts w:hint="eastAsia"/>
          <w:sz w:val="24"/>
          <w:szCs w:val="24"/>
          <w:highlight w:val="none"/>
        </w:rPr>
        <w:t>。若本次回购股份全部用于股权激励及/或员工持股计划并全部锁定，预计回购后公司股本结构变化情况如下：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4"/>
        <w:gridCol w:w="1416"/>
        <w:gridCol w:w="1641"/>
        <w:gridCol w:w="1653"/>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Merge w:val="restart"/>
          </w:tcPr>
          <w:p>
            <w:pPr>
              <w:rPr>
                <w:b/>
                <w:bCs/>
                <w:szCs w:val="21"/>
                <w:highlight w:val="none"/>
              </w:rPr>
            </w:pPr>
            <w:r>
              <w:rPr>
                <w:b/>
                <w:bCs/>
                <w:szCs w:val="21"/>
                <w:highlight w:val="none"/>
              </w:rPr>
              <w:t>股份种类</w:t>
            </w:r>
          </w:p>
        </w:tc>
        <w:tc>
          <w:tcPr>
            <w:tcW w:w="3057" w:type="dxa"/>
            <w:gridSpan w:val="2"/>
          </w:tcPr>
          <w:p>
            <w:pPr>
              <w:jc w:val="center"/>
              <w:rPr>
                <w:b/>
                <w:bCs/>
                <w:szCs w:val="21"/>
                <w:highlight w:val="none"/>
              </w:rPr>
            </w:pPr>
            <w:r>
              <w:rPr>
                <w:b/>
                <w:bCs/>
                <w:szCs w:val="21"/>
                <w:highlight w:val="none"/>
              </w:rPr>
              <w:t>回购前</w:t>
            </w:r>
          </w:p>
        </w:tc>
        <w:tc>
          <w:tcPr>
            <w:tcW w:w="3295" w:type="dxa"/>
            <w:gridSpan w:val="2"/>
          </w:tcPr>
          <w:p>
            <w:pPr>
              <w:jc w:val="center"/>
              <w:rPr>
                <w:b/>
                <w:bCs/>
                <w:szCs w:val="21"/>
                <w:highlight w:val="none"/>
              </w:rPr>
            </w:pPr>
            <w:r>
              <w:rPr>
                <w:b/>
                <w:bCs/>
                <w:szCs w:val="21"/>
                <w:highlight w:val="none"/>
              </w:rPr>
              <w:t>回购后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Merge w:val="continue"/>
          </w:tcPr>
          <w:p>
            <w:pPr>
              <w:rPr>
                <w:szCs w:val="21"/>
                <w:highlight w:val="none"/>
              </w:rPr>
            </w:pPr>
          </w:p>
        </w:tc>
        <w:tc>
          <w:tcPr>
            <w:tcW w:w="1416" w:type="dxa"/>
          </w:tcPr>
          <w:p>
            <w:pPr>
              <w:jc w:val="center"/>
              <w:rPr>
                <w:b/>
                <w:bCs/>
                <w:szCs w:val="21"/>
                <w:highlight w:val="none"/>
              </w:rPr>
            </w:pPr>
            <w:r>
              <w:rPr>
                <w:b/>
                <w:bCs/>
                <w:szCs w:val="21"/>
                <w:highlight w:val="none"/>
              </w:rPr>
              <w:t>数量（股）</w:t>
            </w:r>
          </w:p>
        </w:tc>
        <w:tc>
          <w:tcPr>
            <w:tcW w:w="1641" w:type="dxa"/>
          </w:tcPr>
          <w:p>
            <w:pPr>
              <w:jc w:val="center"/>
              <w:rPr>
                <w:b/>
                <w:bCs/>
                <w:szCs w:val="21"/>
                <w:highlight w:val="none"/>
              </w:rPr>
            </w:pPr>
            <w:r>
              <w:rPr>
                <w:b/>
                <w:bCs/>
                <w:szCs w:val="21"/>
                <w:highlight w:val="none"/>
              </w:rPr>
              <w:t>占比</w:t>
            </w:r>
          </w:p>
        </w:tc>
        <w:tc>
          <w:tcPr>
            <w:tcW w:w="1653" w:type="dxa"/>
          </w:tcPr>
          <w:p>
            <w:pPr>
              <w:jc w:val="center"/>
              <w:rPr>
                <w:b/>
                <w:bCs/>
                <w:szCs w:val="21"/>
                <w:highlight w:val="none"/>
              </w:rPr>
            </w:pPr>
            <w:r>
              <w:rPr>
                <w:b/>
                <w:bCs/>
                <w:szCs w:val="21"/>
                <w:highlight w:val="none"/>
              </w:rPr>
              <w:t>数量（股）</w:t>
            </w:r>
          </w:p>
        </w:tc>
        <w:tc>
          <w:tcPr>
            <w:tcW w:w="1642" w:type="dxa"/>
          </w:tcPr>
          <w:p>
            <w:pPr>
              <w:jc w:val="center"/>
              <w:rPr>
                <w:b/>
                <w:bCs/>
                <w:szCs w:val="21"/>
                <w:highlight w:val="none"/>
              </w:rPr>
            </w:pPr>
            <w:r>
              <w:rPr>
                <w:b/>
                <w:bCs/>
                <w:szCs w:val="21"/>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rPr>
                <w:b/>
                <w:bCs/>
                <w:szCs w:val="21"/>
                <w:highlight w:val="none"/>
              </w:rPr>
            </w:pPr>
            <w:r>
              <w:rPr>
                <w:b/>
                <w:bCs/>
                <w:szCs w:val="21"/>
                <w:highlight w:val="none"/>
              </w:rPr>
              <w:t>有限售条件股份</w:t>
            </w:r>
          </w:p>
        </w:tc>
        <w:tc>
          <w:tcPr>
            <w:tcW w:w="1416" w:type="dxa"/>
            <w:vAlign w:val="center"/>
          </w:tcPr>
          <w:p>
            <w:pPr>
              <w:keepNext w:val="0"/>
              <w:keepLines w:val="0"/>
              <w:widowControl/>
              <w:suppressLineNumbers w:val="0"/>
              <w:jc w:val="center"/>
              <w:textAlignment w:val="center"/>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61,362,094</w:t>
            </w:r>
          </w:p>
        </w:tc>
        <w:tc>
          <w:tcPr>
            <w:tcW w:w="1641" w:type="dxa"/>
            <w:vAlign w:val="top"/>
          </w:tcPr>
          <w:p>
            <w:pPr>
              <w:keepNext w:val="0"/>
              <w:keepLines w:val="0"/>
              <w:widowControl/>
              <w:suppressLineNumbers w:val="0"/>
              <w:jc w:val="right"/>
              <w:textAlignment w:val="top"/>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26.61%</w:t>
            </w:r>
          </w:p>
        </w:tc>
        <w:tc>
          <w:tcPr>
            <w:tcW w:w="1653" w:type="dxa"/>
            <w:vAlign w:val="top"/>
          </w:tcPr>
          <w:p>
            <w:pPr>
              <w:keepNext w:val="0"/>
              <w:keepLines w:val="0"/>
              <w:widowControl/>
              <w:suppressLineNumbers w:val="0"/>
              <w:jc w:val="right"/>
              <w:textAlignment w:val="top"/>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62,403,761</w:t>
            </w:r>
          </w:p>
        </w:tc>
        <w:tc>
          <w:tcPr>
            <w:tcW w:w="1642" w:type="dxa"/>
            <w:vAlign w:val="top"/>
          </w:tcPr>
          <w:p>
            <w:pPr>
              <w:keepNext w:val="0"/>
              <w:keepLines w:val="0"/>
              <w:widowControl/>
              <w:suppressLineNumbers w:val="0"/>
              <w:jc w:val="right"/>
              <w:textAlignment w:val="top"/>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rPr>
                <w:b/>
                <w:bCs/>
                <w:szCs w:val="21"/>
                <w:highlight w:val="none"/>
              </w:rPr>
            </w:pPr>
            <w:r>
              <w:rPr>
                <w:b/>
                <w:bCs/>
                <w:szCs w:val="21"/>
                <w:highlight w:val="none"/>
              </w:rPr>
              <w:t>无限售条件股份</w:t>
            </w:r>
          </w:p>
        </w:tc>
        <w:tc>
          <w:tcPr>
            <w:tcW w:w="1416" w:type="dxa"/>
            <w:vAlign w:val="center"/>
          </w:tcPr>
          <w:p>
            <w:pPr>
              <w:keepNext w:val="0"/>
              <w:keepLines w:val="0"/>
              <w:widowControl/>
              <w:suppressLineNumbers w:val="0"/>
              <w:jc w:val="center"/>
              <w:textAlignment w:val="center"/>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169,239,685</w:t>
            </w:r>
          </w:p>
        </w:tc>
        <w:tc>
          <w:tcPr>
            <w:tcW w:w="1641" w:type="dxa"/>
            <w:vAlign w:val="top"/>
          </w:tcPr>
          <w:p>
            <w:pPr>
              <w:keepNext w:val="0"/>
              <w:keepLines w:val="0"/>
              <w:widowControl/>
              <w:suppressLineNumbers w:val="0"/>
              <w:jc w:val="right"/>
              <w:textAlignment w:val="top"/>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73.39%</w:t>
            </w:r>
          </w:p>
        </w:tc>
        <w:tc>
          <w:tcPr>
            <w:tcW w:w="1653" w:type="dxa"/>
            <w:vAlign w:val="top"/>
          </w:tcPr>
          <w:p>
            <w:pPr>
              <w:keepNext w:val="0"/>
              <w:keepLines w:val="0"/>
              <w:widowControl/>
              <w:suppressLineNumbers w:val="0"/>
              <w:jc w:val="right"/>
              <w:textAlignment w:val="top"/>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168,198,018</w:t>
            </w:r>
          </w:p>
        </w:tc>
        <w:tc>
          <w:tcPr>
            <w:tcW w:w="1642" w:type="dxa"/>
            <w:vAlign w:val="top"/>
          </w:tcPr>
          <w:p>
            <w:pPr>
              <w:keepNext w:val="0"/>
              <w:keepLines w:val="0"/>
              <w:widowControl/>
              <w:suppressLineNumbers w:val="0"/>
              <w:jc w:val="right"/>
              <w:textAlignment w:val="top"/>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72.94%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rPr>
                <w:b/>
                <w:bCs/>
                <w:szCs w:val="21"/>
                <w:highlight w:val="none"/>
              </w:rPr>
            </w:pPr>
            <w:r>
              <w:rPr>
                <w:b/>
                <w:bCs/>
                <w:szCs w:val="21"/>
                <w:highlight w:val="none"/>
              </w:rPr>
              <w:t>股份总数</w:t>
            </w:r>
          </w:p>
        </w:tc>
        <w:tc>
          <w:tcPr>
            <w:tcW w:w="1416" w:type="dxa"/>
            <w:vAlign w:val="center"/>
          </w:tcPr>
          <w:p>
            <w:pPr>
              <w:keepNext w:val="0"/>
              <w:keepLines w:val="0"/>
              <w:widowControl/>
              <w:suppressLineNumbers w:val="0"/>
              <w:jc w:val="center"/>
              <w:textAlignment w:val="center"/>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230,601,779</w:t>
            </w:r>
          </w:p>
        </w:tc>
        <w:tc>
          <w:tcPr>
            <w:tcW w:w="1641" w:type="dxa"/>
            <w:vAlign w:val="top"/>
          </w:tcPr>
          <w:p>
            <w:pPr>
              <w:keepNext w:val="0"/>
              <w:keepLines w:val="0"/>
              <w:widowControl/>
              <w:suppressLineNumbers w:val="0"/>
              <w:jc w:val="right"/>
              <w:textAlignment w:val="top"/>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1653" w:type="dxa"/>
            <w:vAlign w:val="top"/>
          </w:tcPr>
          <w:p>
            <w:pPr>
              <w:keepNext w:val="0"/>
              <w:keepLines w:val="0"/>
              <w:widowControl/>
              <w:suppressLineNumbers w:val="0"/>
              <w:jc w:val="right"/>
              <w:textAlignment w:val="top"/>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230,601,779</w:t>
            </w:r>
          </w:p>
        </w:tc>
        <w:tc>
          <w:tcPr>
            <w:tcW w:w="1642" w:type="dxa"/>
            <w:vAlign w:val="top"/>
          </w:tcPr>
          <w:p>
            <w:pPr>
              <w:keepNext w:val="0"/>
              <w:keepLines w:val="0"/>
              <w:widowControl/>
              <w:suppressLineNumbers w:val="0"/>
              <w:jc w:val="right"/>
              <w:textAlignment w:val="top"/>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100.00%</w:t>
            </w:r>
          </w:p>
        </w:tc>
      </w:tr>
    </w:tbl>
    <w:p>
      <w:pPr>
        <w:spacing w:line="360" w:lineRule="auto"/>
        <w:ind w:firstLine="480" w:firstLineChars="200"/>
        <w:rPr>
          <w:sz w:val="24"/>
          <w:szCs w:val="24"/>
          <w:highlight w:val="none"/>
        </w:rPr>
      </w:pPr>
      <w:r>
        <w:rPr>
          <w:rFonts w:hint="eastAsia"/>
          <w:sz w:val="24"/>
          <w:szCs w:val="24"/>
          <w:highlight w:val="none"/>
        </w:rPr>
        <w:t>具体回购股份的数量以回购期满时实际回购的股份数量为准，相应股份的占比亦会发生变化。</w:t>
      </w:r>
    </w:p>
    <w:p>
      <w:pPr>
        <w:spacing w:line="360" w:lineRule="auto"/>
        <w:ind w:firstLine="480" w:firstLineChars="200"/>
        <w:rPr>
          <w:sz w:val="24"/>
          <w:szCs w:val="24"/>
          <w:highlight w:val="none"/>
        </w:rPr>
      </w:pPr>
      <w:r>
        <w:rPr>
          <w:rFonts w:hint="eastAsia"/>
          <w:sz w:val="24"/>
          <w:szCs w:val="24"/>
          <w:highlight w:val="none"/>
        </w:rPr>
        <w:t>2、假设按本次回购资金总额上限</w:t>
      </w:r>
      <w:r>
        <w:rPr>
          <w:rFonts w:hint="eastAsia"/>
          <w:sz w:val="24"/>
          <w:szCs w:val="24"/>
          <w:highlight w:val="none"/>
          <w:lang w:val="en-US" w:eastAsia="zh-CN"/>
        </w:rPr>
        <w:t>6</w:t>
      </w:r>
      <w:r>
        <w:rPr>
          <w:sz w:val="24"/>
          <w:szCs w:val="24"/>
          <w:highlight w:val="none"/>
        </w:rPr>
        <w:t>,000</w:t>
      </w:r>
      <w:r>
        <w:rPr>
          <w:rFonts w:hint="eastAsia"/>
          <w:sz w:val="24"/>
          <w:szCs w:val="24"/>
          <w:highlight w:val="none"/>
        </w:rPr>
        <w:t>万元，回购价格上限</w:t>
      </w:r>
      <w:r>
        <w:rPr>
          <w:rFonts w:hint="eastAsia"/>
          <w:sz w:val="24"/>
          <w:szCs w:val="24"/>
          <w:highlight w:val="none"/>
          <w:lang w:val="en-US" w:eastAsia="zh-CN"/>
        </w:rPr>
        <w:t>28.80</w:t>
      </w:r>
      <w:r>
        <w:rPr>
          <w:rFonts w:hint="eastAsia"/>
          <w:sz w:val="24"/>
          <w:szCs w:val="24"/>
          <w:highlight w:val="none"/>
        </w:rPr>
        <w:t>元/股，且本次回购全部实施完毕进行测算，回购数量为2,083,333股，约占公司总股本的</w:t>
      </w:r>
      <w:r>
        <w:rPr>
          <w:rFonts w:hint="eastAsia"/>
          <w:sz w:val="24"/>
          <w:szCs w:val="24"/>
          <w:highlight w:val="none"/>
          <w:lang w:val="en-US" w:eastAsia="zh-CN"/>
        </w:rPr>
        <w:t>0.90%</w:t>
      </w:r>
      <w:r>
        <w:rPr>
          <w:rFonts w:hint="eastAsia"/>
          <w:sz w:val="24"/>
          <w:szCs w:val="24"/>
          <w:highlight w:val="none"/>
        </w:rPr>
        <w:t>。若本次回购股份全部用于员工持股计划及/或股权激励计划并全部锁定，预计回购后公司股本结构变化情况如下：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4"/>
        <w:gridCol w:w="1416"/>
        <w:gridCol w:w="1641"/>
        <w:gridCol w:w="1653"/>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Merge w:val="restart"/>
          </w:tcPr>
          <w:p>
            <w:pPr>
              <w:rPr>
                <w:b/>
                <w:bCs/>
                <w:szCs w:val="21"/>
                <w:highlight w:val="none"/>
              </w:rPr>
            </w:pPr>
            <w:r>
              <w:rPr>
                <w:b/>
                <w:bCs/>
                <w:szCs w:val="21"/>
                <w:highlight w:val="none"/>
              </w:rPr>
              <w:t>股份种类</w:t>
            </w:r>
          </w:p>
        </w:tc>
        <w:tc>
          <w:tcPr>
            <w:tcW w:w="3057" w:type="dxa"/>
            <w:gridSpan w:val="2"/>
          </w:tcPr>
          <w:p>
            <w:pPr>
              <w:jc w:val="center"/>
              <w:rPr>
                <w:b/>
                <w:bCs/>
                <w:szCs w:val="21"/>
                <w:highlight w:val="none"/>
              </w:rPr>
            </w:pPr>
            <w:r>
              <w:rPr>
                <w:b/>
                <w:bCs/>
                <w:szCs w:val="21"/>
                <w:highlight w:val="none"/>
              </w:rPr>
              <w:t>回购前</w:t>
            </w:r>
          </w:p>
        </w:tc>
        <w:tc>
          <w:tcPr>
            <w:tcW w:w="3295" w:type="dxa"/>
            <w:gridSpan w:val="2"/>
          </w:tcPr>
          <w:p>
            <w:pPr>
              <w:jc w:val="center"/>
              <w:rPr>
                <w:b/>
                <w:bCs/>
                <w:szCs w:val="21"/>
                <w:highlight w:val="none"/>
              </w:rPr>
            </w:pPr>
            <w:r>
              <w:rPr>
                <w:b/>
                <w:bCs/>
                <w:szCs w:val="21"/>
                <w:highlight w:val="none"/>
              </w:rPr>
              <w:t>回购后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Merge w:val="continue"/>
          </w:tcPr>
          <w:p>
            <w:pPr>
              <w:rPr>
                <w:szCs w:val="21"/>
                <w:highlight w:val="none"/>
              </w:rPr>
            </w:pPr>
          </w:p>
        </w:tc>
        <w:tc>
          <w:tcPr>
            <w:tcW w:w="1416" w:type="dxa"/>
          </w:tcPr>
          <w:p>
            <w:pPr>
              <w:rPr>
                <w:b/>
                <w:bCs/>
                <w:szCs w:val="21"/>
                <w:highlight w:val="none"/>
              </w:rPr>
            </w:pPr>
            <w:r>
              <w:rPr>
                <w:b/>
                <w:bCs/>
                <w:szCs w:val="21"/>
                <w:highlight w:val="none"/>
              </w:rPr>
              <w:t>数量（股）</w:t>
            </w:r>
          </w:p>
        </w:tc>
        <w:tc>
          <w:tcPr>
            <w:tcW w:w="1641" w:type="dxa"/>
          </w:tcPr>
          <w:p>
            <w:pPr>
              <w:jc w:val="center"/>
              <w:rPr>
                <w:b/>
                <w:bCs/>
                <w:szCs w:val="21"/>
                <w:highlight w:val="none"/>
              </w:rPr>
            </w:pPr>
            <w:r>
              <w:rPr>
                <w:b/>
                <w:bCs/>
                <w:szCs w:val="21"/>
                <w:highlight w:val="none"/>
              </w:rPr>
              <w:t>占比</w:t>
            </w:r>
          </w:p>
        </w:tc>
        <w:tc>
          <w:tcPr>
            <w:tcW w:w="1653" w:type="dxa"/>
          </w:tcPr>
          <w:p>
            <w:pPr>
              <w:rPr>
                <w:b/>
                <w:bCs/>
                <w:szCs w:val="21"/>
                <w:highlight w:val="none"/>
              </w:rPr>
            </w:pPr>
            <w:r>
              <w:rPr>
                <w:b/>
                <w:bCs/>
                <w:szCs w:val="21"/>
                <w:highlight w:val="none"/>
              </w:rPr>
              <w:t>数量（股）</w:t>
            </w:r>
          </w:p>
        </w:tc>
        <w:tc>
          <w:tcPr>
            <w:tcW w:w="1642" w:type="dxa"/>
          </w:tcPr>
          <w:p>
            <w:pPr>
              <w:jc w:val="center"/>
              <w:rPr>
                <w:b/>
                <w:bCs/>
                <w:szCs w:val="21"/>
                <w:highlight w:val="none"/>
              </w:rPr>
            </w:pPr>
            <w:r>
              <w:rPr>
                <w:b/>
                <w:bCs/>
                <w:szCs w:val="21"/>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rPr>
                <w:b/>
                <w:bCs/>
                <w:szCs w:val="21"/>
                <w:highlight w:val="none"/>
              </w:rPr>
            </w:pPr>
            <w:r>
              <w:rPr>
                <w:b/>
                <w:bCs/>
                <w:szCs w:val="21"/>
                <w:highlight w:val="none"/>
              </w:rPr>
              <w:t>有限售条件股份</w:t>
            </w:r>
          </w:p>
        </w:tc>
        <w:tc>
          <w:tcPr>
            <w:tcW w:w="1416" w:type="dxa"/>
            <w:vAlign w:val="center"/>
          </w:tcPr>
          <w:p>
            <w:pPr>
              <w:keepNext w:val="0"/>
              <w:keepLines w:val="0"/>
              <w:widowControl/>
              <w:suppressLineNumbers w:val="0"/>
              <w:jc w:val="center"/>
              <w:textAlignment w:val="center"/>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61,362,094</w:t>
            </w:r>
          </w:p>
        </w:tc>
        <w:tc>
          <w:tcPr>
            <w:tcW w:w="1641" w:type="dxa"/>
            <w:vAlign w:val="top"/>
          </w:tcPr>
          <w:p>
            <w:pPr>
              <w:keepNext w:val="0"/>
              <w:keepLines w:val="0"/>
              <w:widowControl/>
              <w:suppressLineNumbers w:val="0"/>
              <w:jc w:val="right"/>
              <w:textAlignment w:val="top"/>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26.61%</w:t>
            </w:r>
          </w:p>
        </w:tc>
        <w:tc>
          <w:tcPr>
            <w:tcW w:w="1653" w:type="dxa"/>
            <w:vAlign w:val="top"/>
          </w:tcPr>
          <w:p>
            <w:pPr>
              <w:keepNext w:val="0"/>
              <w:keepLines w:val="0"/>
              <w:widowControl/>
              <w:suppressLineNumbers w:val="0"/>
              <w:jc w:val="right"/>
              <w:textAlignment w:val="top"/>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63,445,427</w:t>
            </w:r>
          </w:p>
        </w:tc>
        <w:tc>
          <w:tcPr>
            <w:tcW w:w="1642" w:type="dxa"/>
            <w:vAlign w:val="top"/>
          </w:tcPr>
          <w:p>
            <w:pPr>
              <w:keepNext w:val="0"/>
              <w:keepLines w:val="0"/>
              <w:widowControl/>
              <w:suppressLineNumbers w:val="0"/>
              <w:jc w:val="right"/>
              <w:textAlignment w:val="top"/>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27.51%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rPr>
                <w:b/>
                <w:bCs/>
                <w:szCs w:val="21"/>
                <w:highlight w:val="none"/>
              </w:rPr>
            </w:pPr>
            <w:r>
              <w:rPr>
                <w:b/>
                <w:bCs/>
                <w:szCs w:val="21"/>
                <w:highlight w:val="none"/>
              </w:rPr>
              <w:t>无限售条件股份</w:t>
            </w:r>
          </w:p>
        </w:tc>
        <w:tc>
          <w:tcPr>
            <w:tcW w:w="1416" w:type="dxa"/>
            <w:vAlign w:val="center"/>
          </w:tcPr>
          <w:p>
            <w:pPr>
              <w:keepNext w:val="0"/>
              <w:keepLines w:val="0"/>
              <w:widowControl/>
              <w:suppressLineNumbers w:val="0"/>
              <w:jc w:val="center"/>
              <w:textAlignment w:val="center"/>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169,239,685</w:t>
            </w:r>
          </w:p>
        </w:tc>
        <w:tc>
          <w:tcPr>
            <w:tcW w:w="1641" w:type="dxa"/>
            <w:vAlign w:val="top"/>
          </w:tcPr>
          <w:p>
            <w:pPr>
              <w:keepNext w:val="0"/>
              <w:keepLines w:val="0"/>
              <w:widowControl/>
              <w:suppressLineNumbers w:val="0"/>
              <w:jc w:val="right"/>
              <w:textAlignment w:val="top"/>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73.39%</w:t>
            </w:r>
          </w:p>
        </w:tc>
        <w:tc>
          <w:tcPr>
            <w:tcW w:w="1653" w:type="dxa"/>
            <w:vAlign w:val="top"/>
          </w:tcPr>
          <w:p>
            <w:pPr>
              <w:keepNext w:val="0"/>
              <w:keepLines w:val="0"/>
              <w:widowControl/>
              <w:suppressLineNumbers w:val="0"/>
              <w:jc w:val="right"/>
              <w:textAlignment w:val="top"/>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167,156,352</w:t>
            </w:r>
          </w:p>
        </w:tc>
        <w:tc>
          <w:tcPr>
            <w:tcW w:w="1642" w:type="dxa"/>
            <w:vAlign w:val="top"/>
          </w:tcPr>
          <w:p>
            <w:pPr>
              <w:keepNext w:val="0"/>
              <w:keepLines w:val="0"/>
              <w:widowControl/>
              <w:suppressLineNumbers w:val="0"/>
              <w:jc w:val="right"/>
              <w:textAlignment w:val="top"/>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72.49%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rPr>
                <w:b/>
                <w:bCs/>
                <w:szCs w:val="21"/>
                <w:highlight w:val="none"/>
              </w:rPr>
            </w:pPr>
            <w:r>
              <w:rPr>
                <w:b/>
                <w:bCs/>
                <w:szCs w:val="21"/>
                <w:highlight w:val="none"/>
              </w:rPr>
              <w:t>股份总数</w:t>
            </w:r>
          </w:p>
        </w:tc>
        <w:tc>
          <w:tcPr>
            <w:tcW w:w="1416" w:type="dxa"/>
            <w:vAlign w:val="center"/>
          </w:tcPr>
          <w:p>
            <w:pPr>
              <w:keepNext w:val="0"/>
              <w:keepLines w:val="0"/>
              <w:widowControl/>
              <w:suppressLineNumbers w:val="0"/>
              <w:jc w:val="center"/>
              <w:textAlignment w:val="center"/>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230,601,779</w:t>
            </w:r>
          </w:p>
        </w:tc>
        <w:tc>
          <w:tcPr>
            <w:tcW w:w="1641" w:type="dxa"/>
            <w:vAlign w:val="top"/>
          </w:tcPr>
          <w:p>
            <w:pPr>
              <w:keepNext w:val="0"/>
              <w:keepLines w:val="0"/>
              <w:widowControl/>
              <w:suppressLineNumbers w:val="0"/>
              <w:jc w:val="right"/>
              <w:textAlignment w:val="top"/>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1653" w:type="dxa"/>
            <w:vAlign w:val="top"/>
          </w:tcPr>
          <w:p>
            <w:pPr>
              <w:keepNext w:val="0"/>
              <w:keepLines w:val="0"/>
              <w:widowControl/>
              <w:suppressLineNumbers w:val="0"/>
              <w:jc w:val="right"/>
              <w:textAlignment w:val="top"/>
              <w:rPr>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230,601,779</w:t>
            </w:r>
          </w:p>
        </w:tc>
        <w:tc>
          <w:tcPr>
            <w:tcW w:w="1642" w:type="dxa"/>
            <w:vAlign w:val="center"/>
          </w:tcPr>
          <w:p>
            <w:pPr>
              <w:keepNext w:val="0"/>
              <w:keepLines w:val="0"/>
              <w:widowControl/>
              <w:suppressLineNumbers w:val="0"/>
              <w:jc w:val="right"/>
              <w:textAlignment w:val="center"/>
              <w:rPr>
                <w:szCs w:val="21"/>
                <w:highlight w:val="none"/>
              </w:rPr>
            </w:pPr>
            <w:r>
              <w:rPr>
                <w:rFonts w:hint="eastAsia" w:ascii="宋体" w:hAnsi="宋体" w:eastAsia="宋体" w:cs="宋体"/>
                <w:i w:val="0"/>
                <w:iCs w:val="0"/>
                <w:color w:val="000000"/>
                <w:kern w:val="0"/>
                <w:sz w:val="24"/>
                <w:szCs w:val="24"/>
                <w:u w:val="none"/>
                <w:lang w:val="en-US" w:eastAsia="zh-CN" w:bidi="ar"/>
              </w:rPr>
              <w:t>100.00%</w:t>
            </w:r>
          </w:p>
        </w:tc>
      </w:tr>
    </w:tbl>
    <w:p>
      <w:pPr>
        <w:spacing w:line="360" w:lineRule="auto"/>
        <w:ind w:firstLine="480" w:firstLineChars="200"/>
        <w:rPr>
          <w:sz w:val="24"/>
          <w:szCs w:val="24"/>
          <w:highlight w:val="none"/>
        </w:rPr>
      </w:pPr>
      <w:r>
        <w:rPr>
          <w:rFonts w:hint="eastAsia"/>
          <w:sz w:val="24"/>
          <w:szCs w:val="24"/>
          <w:highlight w:val="none"/>
        </w:rPr>
        <w:t>具体回购股份的数量以回购期满时实际回购的股份数量为准，相应股份的占比亦会发生变化。</w:t>
      </w:r>
    </w:p>
    <w:p>
      <w:pPr>
        <w:spacing w:line="360" w:lineRule="auto"/>
        <w:ind w:firstLine="482" w:firstLineChars="200"/>
        <w:rPr>
          <w:b/>
          <w:bCs/>
          <w:sz w:val="24"/>
          <w:szCs w:val="24"/>
          <w:highlight w:val="none"/>
        </w:rPr>
      </w:pPr>
      <w:r>
        <w:rPr>
          <w:rFonts w:hint="eastAsia"/>
          <w:b/>
          <w:bCs/>
          <w:sz w:val="24"/>
          <w:szCs w:val="24"/>
          <w:highlight w:val="none"/>
        </w:rPr>
        <w:t>（十一）管理层关于本次回购股份对公司经营、财务、研发、债务履行能力、未来发展影响和维持上市地位等情况的分析，全体董事关于本次回购股份不会损害上市公司的债务履行能力和持续经营能力的承诺</w:t>
      </w:r>
    </w:p>
    <w:p>
      <w:pPr>
        <w:spacing w:line="360" w:lineRule="auto"/>
        <w:ind w:firstLine="480" w:firstLineChars="200"/>
        <w:rPr>
          <w:sz w:val="24"/>
          <w:szCs w:val="24"/>
          <w:highlight w:val="none"/>
        </w:rPr>
      </w:pPr>
      <w:r>
        <w:rPr>
          <w:rFonts w:hint="eastAsia"/>
          <w:sz w:val="24"/>
          <w:szCs w:val="24"/>
          <w:highlight w:val="none"/>
        </w:rPr>
        <w:t>截至202</w:t>
      </w:r>
      <w:r>
        <w:rPr>
          <w:rFonts w:hint="eastAsia"/>
          <w:sz w:val="24"/>
          <w:szCs w:val="24"/>
          <w:highlight w:val="none"/>
          <w:lang w:val="en-US" w:eastAsia="zh-CN"/>
        </w:rPr>
        <w:t>3</w:t>
      </w:r>
      <w:r>
        <w:rPr>
          <w:rFonts w:hint="eastAsia"/>
          <w:sz w:val="24"/>
          <w:szCs w:val="24"/>
          <w:highlight w:val="none"/>
        </w:rPr>
        <w:t>年</w:t>
      </w:r>
      <w:r>
        <w:rPr>
          <w:rFonts w:hint="eastAsia"/>
          <w:sz w:val="24"/>
          <w:szCs w:val="24"/>
          <w:highlight w:val="none"/>
          <w:lang w:val="en-US" w:eastAsia="zh-CN"/>
        </w:rPr>
        <w:t>9</w:t>
      </w:r>
      <w:r>
        <w:rPr>
          <w:rFonts w:hint="eastAsia"/>
          <w:sz w:val="24"/>
          <w:szCs w:val="24"/>
          <w:highlight w:val="none"/>
        </w:rPr>
        <w:t>月</w:t>
      </w:r>
      <w:r>
        <w:rPr>
          <w:rFonts w:hint="eastAsia"/>
          <w:sz w:val="24"/>
          <w:szCs w:val="24"/>
          <w:highlight w:val="none"/>
          <w:lang w:val="en-US" w:eastAsia="zh-CN"/>
        </w:rPr>
        <w:t>30</w:t>
      </w:r>
      <w:r>
        <w:rPr>
          <w:rFonts w:hint="eastAsia"/>
          <w:sz w:val="24"/>
          <w:szCs w:val="24"/>
          <w:highlight w:val="none"/>
        </w:rPr>
        <w:t>日，公司总资产为372</w:t>
      </w:r>
      <w:r>
        <w:rPr>
          <w:rFonts w:hint="eastAsia"/>
          <w:sz w:val="24"/>
          <w:szCs w:val="24"/>
          <w:highlight w:val="none"/>
          <w:lang w:val="en-US" w:eastAsia="zh-CN"/>
        </w:rPr>
        <w:t>,</w:t>
      </w:r>
      <w:r>
        <w:rPr>
          <w:rFonts w:hint="eastAsia"/>
          <w:sz w:val="24"/>
          <w:szCs w:val="24"/>
          <w:highlight w:val="none"/>
        </w:rPr>
        <w:t>497</w:t>
      </w:r>
      <w:r>
        <w:rPr>
          <w:rFonts w:hint="eastAsia"/>
          <w:sz w:val="24"/>
          <w:szCs w:val="24"/>
          <w:highlight w:val="none"/>
          <w:lang w:val="en-US" w:eastAsia="zh-CN"/>
        </w:rPr>
        <w:t>.</w:t>
      </w:r>
      <w:r>
        <w:rPr>
          <w:rFonts w:hint="eastAsia"/>
          <w:sz w:val="24"/>
          <w:szCs w:val="24"/>
          <w:highlight w:val="none"/>
        </w:rPr>
        <w:t>79万元，归属于上市公司股东的净资产为281</w:t>
      </w:r>
      <w:r>
        <w:rPr>
          <w:rFonts w:hint="eastAsia"/>
          <w:sz w:val="24"/>
          <w:szCs w:val="24"/>
          <w:highlight w:val="none"/>
          <w:lang w:val="en-US" w:eastAsia="zh-CN"/>
        </w:rPr>
        <w:t>,</w:t>
      </w:r>
      <w:r>
        <w:rPr>
          <w:rFonts w:hint="eastAsia"/>
          <w:sz w:val="24"/>
          <w:szCs w:val="24"/>
          <w:highlight w:val="none"/>
        </w:rPr>
        <w:t>911</w:t>
      </w:r>
      <w:r>
        <w:rPr>
          <w:rFonts w:hint="eastAsia"/>
          <w:sz w:val="24"/>
          <w:szCs w:val="24"/>
          <w:highlight w:val="none"/>
          <w:lang w:val="en-US" w:eastAsia="zh-CN"/>
        </w:rPr>
        <w:t>.</w:t>
      </w:r>
      <w:r>
        <w:rPr>
          <w:rFonts w:hint="eastAsia"/>
          <w:sz w:val="24"/>
          <w:szCs w:val="24"/>
          <w:highlight w:val="none"/>
        </w:rPr>
        <w:t>8</w:t>
      </w:r>
      <w:r>
        <w:rPr>
          <w:rFonts w:hint="eastAsia"/>
          <w:sz w:val="24"/>
          <w:szCs w:val="24"/>
          <w:highlight w:val="none"/>
          <w:lang w:val="en-US" w:eastAsia="zh-CN"/>
        </w:rPr>
        <w:t>3</w:t>
      </w:r>
      <w:r>
        <w:rPr>
          <w:rFonts w:hint="eastAsia"/>
          <w:sz w:val="24"/>
          <w:szCs w:val="24"/>
          <w:highlight w:val="none"/>
        </w:rPr>
        <w:t>万元，流动资产为227</w:t>
      </w:r>
      <w:r>
        <w:rPr>
          <w:rFonts w:hint="eastAsia"/>
          <w:sz w:val="24"/>
          <w:szCs w:val="24"/>
          <w:highlight w:val="none"/>
          <w:lang w:val="en-US" w:eastAsia="zh-CN"/>
        </w:rPr>
        <w:t>,</w:t>
      </w:r>
      <w:r>
        <w:rPr>
          <w:rFonts w:hint="eastAsia"/>
          <w:sz w:val="24"/>
          <w:szCs w:val="24"/>
          <w:highlight w:val="none"/>
        </w:rPr>
        <w:t>929</w:t>
      </w:r>
      <w:r>
        <w:rPr>
          <w:rFonts w:hint="eastAsia"/>
          <w:sz w:val="24"/>
          <w:szCs w:val="24"/>
          <w:highlight w:val="none"/>
          <w:lang w:val="en-US" w:eastAsia="zh-CN"/>
        </w:rPr>
        <w:t>.</w:t>
      </w:r>
      <w:r>
        <w:rPr>
          <w:rFonts w:hint="eastAsia"/>
          <w:sz w:val="24"/>
          <w:szCs w:val="24"/>
          <w:highlight w:val="none"/>
        </w:rPr>
        <w:t>5</w:t>
      </w:r>
      <w:r>
        <w:rPr>
          <w:rFonts w:hint="eastAsia"/>
          <w:sz w:val="24"/>
          <w:szCs w:val="24"/>
          <w:highlight w:val="none"/>
          <w:lang w:val="en-US" w:eastAsia="zh-CN"/>
        </w:rPr>
        <w:t>2</w:t>
      </w:r>
      <w:r>
        <w:rPr>
          <w:rFonts w:hint="eastAsia"/>
          <w:sz w:val="24"/>
          <w:szCs w:val="24"/>
          <w:highlight w:val="none"/>
        </w:rPr>
        <w:t>万元，本次回购股份资金来源于公司自有资金。</w:t>
      </w:r>
    </w:p>
    <w:p>
      <w:pPr>
        <w:spacing w:line="360" w:lineRule="auto"/>
        <w:ind w:firstLine="480" w:firstLineChars="200"/>
        <w:rPr>
          <w:sz w:val="24"/>
          <w:szCs w:val="24"/>
          <w:highlight w:val="none"/>
        </w:rPr>
      </w:pPr>
      <w:r>
        <w:rPr>
          <w:rFonts w:hint="eastAsia"/>
          <w:sz w:val="24"/>
          <w:szCs w:val="24"/>
          <w:highlight w:val="none"/>
        </w:rPr>
        <w:t>若本次回购资金上限人民币</w:t>
      </w:r>
      <w:r>
        <w:rPr>
          <w:rFonts w:hint="eastAsia"/>
          <w:sz w:val="24"/>
          <w:szCs w:val="24"/>
          <w:highlight w:val="none"/>
          <w:lang w:val="en-US" w:eastAsia="zh-CN"/>
        </w:rPr>
        <w:t>6</w:t>
      </w:r>
      <w:r>
        <w:rPr>
          <w:sz w:val="24"/>
          <w:szCs w:val="24"/>
          <w:highlight w:val="none"/>
        </w:rPr>
        <w:t>,000</w:t>
      </w:r>
      <w:r>
        <w:rPr>
          <w:rFonts w:hint="eastAsia"/>
          <w:sz w:val="24"/>
          <w:szCs w:val="24"/>
          <w:highlight w:val="none"/>
        </w:rPr>
        <w:t>万元全部使用完毕，按202</w:t>
      </w:r>
      <w:r>
        <w:rPr>
          <w:rFonts w:hint="eastAsia"/>
          <w:sz w:val="24"/>
          <w:szCs w:val="24"/>
          <w:highlight w:val="none"/>
          <w:lang w:val="en-US" w:eastAsia="zh-CN"/>
        </w:rPr>
        <w:t>3</w:t>
      </w:r>
      <w:r>
        <w:rPr>
          <w:rFonts w:hint="eastAsia"/>
          <w:sz w:val="24"/>
          <w:szCs w:val="24"/>
          <w:highlight w:val="none"/>
        </w:rPr>
        <w:t>年</w:t>
      </w:r>
      <w:r>
        <w:rPr>
          <w:rFonts w:hint="eastAsia"/>
          <w:sz w:val="24"/>
          <w:szCs w:val="24"/>
          <w:highlight w:val="none"/>
          <w:lang w:val="en-US" w:eastAsia="zh-CN"/>
        </w:rPr>
        <w:t>9</w:t>
      </w:r>
      <w:r>
        <w:rPr>
          <w:rFonts w:hint="eastAsia"/>
          <w:sz w:val="24"/>
          <w:szCs w:val="24"/>
          <w:highlight w:val="none"/>
        </w:rPr>
        <w:t>月</w:t>
      </w:r>
      <w:r>
        <w:rPr>
          <w:rFonts w:hint="eastAsia"/>
          <w:sz w:val="24"/>
          <w:szCs w:val="24"/>
          <w:highlight w:val="none"/>
          <w:lang w:val="en-US" w:eastAsia="zh-CN"/>
        </w:rPr>
        <w:t>30</w:t>
      </w:r>
      <w:r>
        <w:rPr>
          <w:rFonts w:hint="eastAsia"/>
          <w:sz w:val="24"/>
          <w:szCs w:val="24"/>
          <w:highlight w:val="none"/>
        </w:rPr>
        <w:t>日财务数据测算，回购资金总额占公司总资产的比例为</w:t>
      </w:r>
      <w:r>
        <w:rPr>
          <w:rFonts w:hint="eastAsia"/>
          <w:sz w:val="24"/>
          <w:szCs w:val="24"/>
          <w:highlight w:val="none"/>
          <w:lang w:val="en-US" w:eastAsia="zh-CN"/>
        </w:rPr>
        <w:t>1.61</w:t>
      </w:r>
      <w:r>
        <w:rPr>
          <w:rFonts w:hint="eastAsia"/>
          <w:sz w:val="24"/>
          <w:szCs w:val="24"/>
          <w:highlight w:val="none"/>
        </w:rPr>
        <w:t>%、占归属于上市公司股东的净资产的比例为</w:t>
      </w:r>
      <w:r>
        <w:rPr>
          <w:rFonts w:hint="eastAsia"/>
          <w:sz w:val="24"/>
          <w:szCs w:val="24"/>
          <w:highlight w:val="none"/>
          <w:lang w:val="en-US" w:eastAsia="zh-CN"/>
        </w:rPr>
        <w:t>2.13</w:t>
      </w:r>
      <w:r>
        <w:rPr>
          <w:rFonts w:hint="eastAsia"/>
          <w:sz w:val="24"/>
          <w:szCs w:val="24"/>
          <w:highlight w:val="none"/>
        </w:rPr>
        <w:t>%、占流动资产的比例为</w:t>
      </w:r>
      <w:r>
        <w:rPr>
          <w:rFonts w:hint="eastAsia"/>
          <w:sz w:val="24"/>
          <w:szCs w:val="24"/>
          <w:highlight w:val="none"/>
          <w:lang w:val="en-US" w:eastAsia="zh-CN"/>
        </w:rPr>
        <w:t>2.63</w:t>
      </w:r>
      <w:r>
        <w:rPr>
          <w:rFonts w:hint="eastAsia"/>
          <w:sz w:val="24"/>
          <w:szCs w:val="24"/>
          <w:highlight w:val="none"/>
        </w:rPr>
        <w:t>%。综合考虑公司经营、财务等多方面因素，本次使用资金总额不低于人民币</w:t>
      </w:r>
      <w:r>
        <w:rPr>
          <w:rFonts w:hint="eastAsia"/>
          <w:sz w:val="24"/>
          <w:szCs w:val="24"/>
          <w:highlight w:val="none"/>
          <w:lang w:val="en-US" w:eastAsia="zh-CN"/>
        </w:rPr>
        <w:t>3</w:t>
      </w:r>
      <w:r>
        <w:rPr>
          <w:sz w:val="24"/>
          <w:szCs w:val="24"/>
          <w:highlight w:val="none"/>
        </w:rPr>
        <w:t>,000</w:t>
      </w:r>
      <w:r>
        <w:rPr>
          <w:rFonts w:hint="eastAsia"/>
          <w:sz w:val="24"/>
          <w:szCs w:val="24"/>
          <w:highlight w:val="none"/>
        </w:rPr>
        <w:t>万元（含）且不超过人民币</w:t>
      </w:r>
      <w:r>
        <w:rPr>
          <w:rFonts w:hint="eastAsia"/>
          <w:sz w:val="24"/>
          <w:szCs w:val="24"/>
          <w:highlight w:val="none"/>
          <w:lang w:val="en-US" w:eastAsia="zh-CN"/>
        </w:rPr>
        <w:t>6</w:t>
      </w:r>
      <w:r>
        <w:rPr>
          <w:sz w:val="24"/>
          <w:szCs w:val="24"/>
          <w:highlight w:val="none"/>
        </w:rPr>
        <w:t>,000</w:t>
      </w:r>
      <w:r>
        <w:rPr>
          <w:rFonts w:hint="eastAsia"/>
          <w:sz w:val="24"/>
          <w:szCs w:val="24"/>
          <w:highlight w:val="none"/>
        </w:rPr>
        <w:t>万元（含）的自有资金实施股份回购，不会对公司的经营、财务、研发、债务履行能力、未来发展产生重大影响。</w:t>
      </w:r>
    </w:p>
    <w:p>
      <w:pPr>
        <w:spacing w:line="360" w:lineRule="auto"/>
        <w:ind w:firstLine="480" w:firstLineChars="200"/>
        <w:rPr>
          <w:sz w:val="24"/>
          <w:szCs w:val="24"/>
          <w:highlight w:val="none"/>
        </w:rPr>
      </w:pPr>
      <w:r>
        <w:rPr>
          <w:rFonts w:hint="eastAsia"/>
          <w:sz w:val="24"/>
          <w:szCs w:val="24"/>
          <w:highlight w:val="none"/>
        </w:rPr>
        <w:t>以不超过人民币</w:t>
      </w:r>
      <w:r>
        <w:rPr>
          <w:rFonts w:hint="eastAsia"/>
          <w:sz w:val="24"/>
          <w:szCs w:val="24"/>
          <w:highlight w:val="none"/>
          <w:lang w:val="en-US" w:eastAsia="zh-CN"/>
        </w:rPr>
        <w:t>6</w:t>
      </w:r>
      <w:r>
        <w:rPr>
          <w:sz w:val="24"/>
          <w:szCs w:val="24"/>
          <w:highlight w:val="none"/>
        </w:rPr>
        <w:t>,000</w:t>
      </w:r>
      <w:r>
        <w:rPr>
          <w:rFonts w:hint="eastAsia"/>
          <w:sz w:val="24"/>
          <w:szCs w:val="24"/>
          <w:highlight w:val="none"/>
        </w:rPr>
        <w:t>万元的回购金额上限和回购价格上限</w:t>
      </w:r>
      <w:r>
        <w:rPr>
          <w:rFonts w:hint="eastAsia"/>
          <w:sz w:val="24"/>
          <w:szCs w:val="24"/>
          <w:highlight w:val="none"/>
          <w:lang w:val="en-US" w:eastAsia="zh-CN"/>
        </w:rPr>
        <w:t>28.80</w:t>
      </w:r>
      <w:r>
        <w:rPr>
          <w:rFonts w:hint="eastAsia"/>
          <w:sz w:val="24"/>
          <w:szCs w:val="24"/>
          <w:highlight w:val="none"/>
        </w:rPr>
        <w:t>元/股测算，预计回购数量不超过2,083,333股，约占公司总股本的</w:t>
      </w:r>
      <w:r>
        <w:rPr>
          <w:rFonts w:hint="eastAsia"/>
          <w:sz w:val="24"/>
          <w:szCs w:val="24"/>
          <w:highlight w:val="none"/>
          <w:lang w:val="en-US" w:eastAsia="zh-CN"/>
        </w:rPr>
        <w:t>0.90%</w:t>
      </w:r>
      <w:r>
        <w:rPr>
          <w:rFonts w:hint="eastAsia"/>
          <w:sz w:val="24"/>
          <w:szCs w:val="24"/>
          <w:highlight w:val="none"/>
        </w:rPr>
        <w:t>。回购完成后，公司的股权结构不会出现重大变动，股权分布情况仍符合公司上市条件，不会改变公司上市地位，也不会导致公司控制权发生变化。本次回购股份反映了管理层对公司内在价值和未来发展规划的坚定信心，有利于保护全体股东特别是中小股东的利益，增强投资者信心以及公司股东价值的提升；本次回购股份用于股权激励及/或员工持股计划，有利于建立、健全完善的长效激励机制，将提升团队凝聚力和和企业核心竞争力，促进公司盈利能力进一步提升，有利于公司可持续发展。公司全体董事承诺：本次回购股份不会损害上市公司的债务履行能力和持续经营能力。</w:t>
      </w:r>
    </w:p>
    <w:p>
      <w:pPr>
        <w:spacing w:line="360" w:lineRule="auto"/>
        <w:ind w:firstLine="482" w:firstLineChars="200"/>
        <w:rPr>
          <w:b/>
          <w:bCs/>
          <w:sz w:val="24"/>
          <w:szCs w:val="24"/>
          <w:highlight w:val="none"/>
        </w:rPr>
      </w:pPr>
      <w:r>
        <w:rPr>
          <w:rFonts w:hint="eastAsia"/>
          <w:b/>
          <w:bCs/>
          <w:sz w:val="24"/>
          <w:szCs w:val="24"/>
          <w:highlight w:val="none"/>
        </w:rPr>
        <w:t>（十二）公司董事、监事、高级管理人员、控股股东、实际控制人及其一致行动人在董事会作出回购股份决议前六个月内买卖本公司股份的情况，是否存在单独或者与他人联合进行内幕交易及操纵市场行为的说明，以及在回购期间的增减持计划；持股5%以上股东及其一致行动人未来</w:t>
      </w:r>
      <w:bookmarkStart w:id="1" w:name="_GoBack"/>
      <w:bookmarkEnd w:id="1"/>
      <w:r>
        <w:rPr>
          <w:rFonts w:hint="eastAsia"/>
          <w:b/>
          <w:bCs/>
          <w:sz w:val="24"/>
          <w:szCs w:val="24"/>
          <w:highlight w:val="none"/>
        </w:rPr>
        <w:t>六个月的减持计划</w:t>
      </w:r>
    </w:p>
    <w:p>
      <w:pPr>
        <w:spacing w:line="360" w:lineRule="auto"/>
        <w:ind w:firstLine="480" w:firstLineChars="200"/>
        <w:rPr>
          <w:sz w:val="24"/>
          <w:szCs w:val="24"/>
          <w:highlight w:val="none"/>
        </w:rPr>
      </w:pPr>
      <w:bookmarkStart w:id="0" w:name="_Hlk101871564"/>
      <w:r>
        <w:rPr>
          <w:rFonts w:hint="eastAsia"/>
          <w:sz w:val="24"/>
          <w:szCs w:val="24"/>
          <w:highlight w:val="none"/>
        </w:rPr>
        <w:t>经自查，公司董事会作出本次回购股份的决议前六个月内，全体董事、监事、高级管理人员、控股股东、实际控制人及其一致行动人均不存在买卖本公司股份的情形，亦不存在单独或者与他人联合进行内幕交易及操纵市场的行为。</w:t>
      </w:r>
    </w:p>
    <w:p>
      <w:pPr>
        <w:spacing w:line="360" w:lineRule="auto"/>
        <w:ind w:firstLine="480" w:firstLineChars="200"/>
        <w:rPr>
          <w:rFonts w:hint="eastAsia"/>
          <w:sz w:val="24"/>
          <w:szCs w:val="24"/>
          <w:highlight w:val="none"/>
        </w:rPr>
      </w:pPr>
      <w:r>
        <w:rPr>
          <w:rFonts w:hint="eastAsia"/>
          <w:sz w:val="24"/>
          <w:szCs w:val="24"/>
          <w:highlight w:val="none"/>
        </w:rPr>
        <w:t>截至本公告日，公司董事、监事、高级管理人员、控股股东及其一致行动人、其他持有5%以上公司股份的股东在回购期间及未来六个月暂无减持计划，若未来有拟实施股份减持计划的，公司将按照中国证监会、深圳证券交易所的相关规定及时履行信息披露义务。</w:t>
      </w:r>
    </w:p>
    <w:bookmarkEnd w:id="0"/>
    <w:p>
      <w:pPr>
        <w:spacing w:line="360" w:lineRule="auto"/>
        <w:ind w:firstLine="482" w:firstLineChars="200"/>
        <w:rPr>
          <w:b/>
          <w:bCs/>
          <w:sz w:val="24"/>
          <w:szCs w:val="24"/>
          <w:highlight w:val="none"/>
        </w:rPr>
      </w:pPr>
      <w:r>
        <w:rPr>
          <w:rFonts w:hint="eastAsia"/>
          <w:b/>
          <w:bCs/>
          <w:sz w:val="24"/>
          <w:szCs w:val="24"/>
          <w:highlight w:val="none"/>
        </w:rPr>
        <w:t>（十三）回购股份后依法注销或转让的相关安排，以及防范侵害债权人利益的相关安排</w:t>
      </w:r>
    </w:p>
    <w:p>
      <w:pPr>
        <w:spacing w:line="360" w:lineRule="auto"/>
        <w:ind w:firstLine="480" w:firstLineChars="200"/>
        <w:rPr>
          <w:sz w:val="24"/>
          <w:szCs w:val="24"/>
          <w:highlight w:val="none"/>
        </w:rPr>
      </w:pPr>
      <w:r>
        <w:rPr>
          <w:rFonts w:hint="eastAsia"/>
          <w:sz w:val="24"/>
          <w:szCs w:val="24"/>
          <w:highlight w:val="none"/>
        </w:rPr>
        <w:t>本次回购股份将用于股权激励及/或员工持股计划。公司如未能在股份回购完成之后三年内实施前述用途的，未授出或转让部分股份将依法予以注销，公司注册资本将相应减少。若发生公司注销所回购股份的情形，公司将依据《公司法》等有关规定及时履行相关决策程序并通知所有债权人，充分保障债权人的合法权益，并及时履行披露义务。</w:t>
      </w:r>
    </w:p>
    <w:p>
      <w:pPr>
        <w:spacing w:line="360" w:lineRule="auto"/>
        <w:ind w:firstLine="482" w:firstLineChars="200"/>
        <w:rPr>
          <w:b/>
          <w:bCs/>
          <w:sz w:val="24"/>
          <w:szCs w:val="24"/>
          <w:highlight w:val="none"/>
        </w:rPr>
      </w:pPr>
      <w:r>
        <w:rPr>
          <w:rFonts w:hint="eastAsia"/>
          <w:b/>
          <w:bCs/>
          <w:sz w:val="24"/>
          <w:szCs w:val="24"/>
          <w:highlight w:val="none"/>
        </w:rPr>
        <w:t>（十四）授权事项</w:t>
      </w:r>
    </w:p>
    <w:p>
      <w:pPr>
        <w:spacing w:line="360" w:lineRule="auto"/>
        <w:ind w:firstLine="480" w:firstLineChars="200"/>
        <w:rPr>
          <w:sz w:val="24"/>
          <w:szCs w:val="24"/>
          <w:highlight w:val="none"/>
        </w:rPr>
      </w:pPr>
      <w:r>
        <w:rPr>
          <w:rFonts w:hint="eastAsia"/>
          <w:sz w:val="24"/>
          <w:szCs w:val="24"/>
          <w:highlight w:val="none"/>
        </w:rPr>
        <w:t>根据《公司法》和《公司章程》的相关规定，本次回购公司股份事项已经公司第</w:t>
      </w:r>
      <w:r>
        <w:rPr>
          <w:rFonts w:hint="eastAsia"/>
          <w:sz w:val="24"/>
          <w:szCs w:val="24"/>
          <w:highlight w:val="none"/>
          <w:lang w:val="en-US" w:eastAsia="zh-CN"/>
        </w:rPr>
        <w:t>三</w:t>
      </w:r>
      <w:r>
        <w:rPr>
          <w:rFonts w:hint="eastAsia"/>
          <w:sz w:val="24"/>
          <w:szCs w:val="24"/>
          <w:highlight w:val="none"/>
        </w:rPr>
        <w:t>届董事会第十</w:t>
      </w:r>
      <w:r>
        <w:rPr>
          <w:rFonts w:hint="eastAsia"/>
          <w:sz w:val="24"/>
          <w:szCs w:val="24"/>
          <w:highlight w:val="none"/>
          <w:lang w:val="en-US" w:eastAsia="zh-CN"/>
        </w:rPr>
        <w:t>四</w:t>
      </w:r>
      <w:r>
        <w:rPr>
          <w:rFonts w:hint="eastAsia"/>
          <w:sz w:val="24"/>
          <w:szCs w:val="24"/>
          <w:highlight w:val="none"/>
        </w:rPr>
        <w:t>次会议三分之二以上董事审议通过，无需提交股东大会审议。为保证本次股份回购的顺利实施，公司董事会授权管理层在法律法规规定范围内，按照最大限度维护公司及股东利益的原则，办理本次回购股份相关事宜，授权内容及范围包括但不限于以下事项：</w:t>
      </w:r>
    </w:p>
    <w:p>
      <w:pPr>
        <w:spacing w:line="360" w:lineRule="auto"/>
        <w:ind w:firstLine="480" w:firstLineChars="200"/>
        <w:rPr>
          <w:sz w:val="24"/>
          <w:szCs w:val="24"/>
          <w:highlight w:val="none"/>
        </w:rPr>
      </w:pPr>
      <w:r>
        <w:rPr>
          <w:rFonts w:hint="eastAsia"/>
          <w:sz w:val="24"/>
          <w:szCs w:val="24"/>
          <w:highlight w:val="none"/>
        </w:rPr>
        <w:t>1、制订并具体实施回购方案，在回购实施期限内择机回购公司股份，包括但不限于实施的时间、价格、数量等，并依据有关法律法规的规定进行相应调整。</w:t>
      </w:r>
    </w:p>
    <w:p>
      <w:pPr>
        <w:spacing w:line="360" w:lineRule="auto"/>
        <w:ind w:firstLine="480" w:firstLineChars="200"/>
        <w:rPr>
          <w:sz w:val="24"/>
          <w:szCs w:val="24"/>
          <w:highlight w:val="none"/>
        </w:rPr>
      </w:pPr>
      <w:r>
        <w:rPr>
          <w:rFonts w:hint="eastAsia"/>
          <w:sz w:val="24"/>
          <w:szCs w:val="24"/>
          <w:highlight w:val="none"/>
        </w:rPr>
        <w:t>2、除涉及有关法律、法规、部门规章和规范性文件的规定须由董事会重新表决的事项外，依据市场条件、股价表现、公司实际情况等综合决定继续实施、调整实施本次回购方案，以及办理与股份回购有关的其他事宜。</w:t>
      </w:r>
    </w:p>
    <w:p>
      <w:pPr>
        <w:spacing w:line="360" w:lineRule="auto"/>
        <w:ind w:firstLine="480" w:firstLineChars="200"/>
        <w:rPr>
          <w:sz w:val="24"/>
          <w:szCs w:val="24"/>
          <w:highlight w:val="none"/>
        </w:rPr>
      </w:pPr>
      <w:r>
        <w:rPr>
          <w:rFonts w:hint="eastAsia"/>
          <w:sz w:val="24"/>
          <w:szCs w:val="24"/>
          <w:highlight w:val="none"/>
        </w:rPr>
        <w:t>3、设立回购专用证券账户及相关事项。</w:t>
      </w:r>
    </w:p>
    <w:p>
      <w:pPr>
        <w:spacing w:line="360" w:lineRule="auto"/>
        <w:ind w:firstLine="480" w:firstLineChars="200"/>
        <w:rPr>
          <w:sz w:val="24"/>
          <w:szCs w:val="24"/>
          <w:highlight w:val="none"/>
        </w:rPr>
      </w:pPr>
      <w:r>
        <w:rPr>
          <w:rFonts w:hint="eastAsia"/>
          <w:sz w:val="24"/>
          <w:szCs w:val="24"/>
          <w:highlight w:val="none"/>
        </w:rPr>
        <w:t>4、办理相关报批事宜，包括但不限于授权、签署、执行、修改、完成与本次回购股份相关的所有必要的文件、合同、协议、合约。</w:t>
      </w:r>
    </w:p>
    <w:p>
      <w:pPr>
        <w:spacing w:line="360" w:lineRule="auto"/>
        <w:ind w:firstLine="480" w:firstLineChars="200"/>
        <w:rPr>
          <w:sz w:val="24"/>
          <w:szCs w:val="24"/>
          <w:highlight w:val="none"/>
        </w:rPr>
      </w:pPr>
      <w:r>
        <w:rPr>
          <w:rFonts w:hint="eastAsia"/>
          <w:sz w:val="24"/>
          <w:szCs w:val="24"/>
          <w:highlight w:val="none"/>
        </w:rPr>
        <w:t>5、办理其他以上虽未列明但为本次回购股份所必需的事项。授权期限自公司董事会审议通过股份回购方案之日起至公司完成本次回购股份事项之日止。</w:t>
      </w:r>
    </w:p>
    <w:p>
      <w:pPr>
        <w:spacing w:line="360" w:lineRule="auto"/>
        <w:ind w:firstLine="482" w:firstLineChars="200"/>
        <w:rPr>
          <w:b/>
          <w:bCs/>
          <w:sz w:val="24"/>
          <w:szCs w:val="24"/>
          <w:highlight w:val="none"/>
        </w:rPr>
      </w:pPr>
      <w:r>
        <w:rPr>
          <w:rFonts w:hint="eastAsia"/>
          <w:b/>
          <w:bCs/>
          <w:sz w:val="24"/>
          <w:szCs w:val="24"/>
          <w:highlight w:val="none"/>
        </w:rPr>
        <w:t>二、回购方案的审议程序</w:t>
      </w:r>
    </w:p>
    <w:p>
      <w:pPr>
        <w:spacing w:line="360" w:lineRule="auto"/>
        <w:ind w:firstLine="480" w:firstLineChars="200"/>
        <w:rPr>
          <w:sz w:val="24"/>
          <w:szCs w:val="24"/>
          <w:highlight w:val="none"/>
        </w:rPr>
      </w:pPr>
      <w:r>
        <w:rPr>
          <w:rFonts w:hint="eastAsia"/>
          <w:sz w:val="24"/>
          <w:szCs w:val="24"/>
          <w:highlight w:val="none"/>
        </w:rPr>
        <w:t>公司于202</w:t>
      </w:r>
      <w:r>
        <w:rPr>
          <w:rFonts w:hint="eastAsia"/>
          <w:sz w:val="24"/>
          <w:szCs w:val="24"/>
          <w:highlight w:val="none"/>
          <w:lang w:val="en-US" w:eastAsia="zh-CN"/>
        </w:rPr>
        <w:t>4</w:t>
      </w:r>
      <w:r>
        <w:rPr>
          <w:rFonts w:hint="eastAsia"/>
          <w:sz w:val="24"/>
          <w:szCs w:val="24"/>
          <w:highlight w:val="none"/>
        </w:rPr>
        <w:t>年</w:t>
      </w:r>
      <w:r>
        <w:rPr>
          <w:rFonts w:hint="eastAsia"/>
          <w:sz w:val="24"/>
          <w:szCs w:val="24"/>
          <w:highlight w:val="none"/>
          <w:lang w:val="en-US" w:eastAsia="zh-CN"/>
        </w:rPr>
        <w:t>2</w:t>
      </w:r>
      <w:r>
        <w:rPr>
          <w:rFonts w:hint="eastAsia"/>
          <w:sz w:val="24"/>
          <w:szCs w:val="24"/>
          <w:highlight w:val="none"/>
        </w:rPr>
        <w:t>月</w:t>
      </w:r>
      <w:r>
        <w:rPr>
          <w:rFonts w:hint="eastAsia"/>
          <w:sz w:val="24"/>
          <w:szCs w:val="24"/>
          <w:highlight w:val="none"/>
          <w:lang w:val="en-US" w:eastAsia="zh-CN"/>
        </w:rPr>
        <w:t>6</w:t>
      </w:r>
      <w:r>
        <w:rPr>
          <w:rFonts w:hint="eastAsia"/>
          <w:sz w:val="24"/>
          <w:szCs w:val="24"/>
          <w:highlight w:val="none"/>
        </w:rPr>
        <w:t>日召开第</w:t>
      </w:r>
      <w:r>
        <w:rPr>
          <w:rFonts w:hint="eastAsia"/>
          <w:sz w:val="24"/>
          <w:szCs w:val="24"/>
          <w:highlight w:val="none"/>
          <w:lang w:val="en-US" w:eastAsia="zh-CN"/>
        </w:rPr>
        <w:t>三</w:t>
      </w:r>
      <w:r>
        <w:rPr>
          <w:rFonts w:hint="eastAsia"/>
          <w:sz w:val="24"/>
          <w:szCs w:val="24"/>
          <w:highlight w:val="none"/>
        </w:rPr>
        <w:t>届董事会第</w:t>
      </w:r>
      <w:r>
        <w:rPr>
          <w:rFonts w:hint="eastAsia"/>
          <w:sz w:val="24"/>
          <w:szCs w:val="24"/>
          <w:highlight w:val="none"/>
          <w:lang w:val="en-US" w:eastAsia="zh-CN"/>
        </w:rPr>
        <w:t>十四</w:t>
      </w:r>
      <w:r>
        <w:rPr>
          <w:rFonts w:hint="eastAsia"/>
          <w:sz w:val="24"/>
          <w:szCs w:val="24"/>
          <w:highlight w:val="none"/>
        </w:rPr>
        <w:t>次会议、第</w:t>
      </w:r>
      <w:r>
        <w:rPr>
          <w:rFonts w:hint="eastAsia"/>
          <w:sz w:val="24"/>
          <w:szCs w:val="24"/>
          <w:highlight w:val="none"/>
          <w:lang w:val="en-US" w:eastAsia="zh-CN"/>
        </w:rPr>
        <w:t>三</w:t>
      </w:r>
      <w:r>
        <w:rPr>
          <w:rFonts w:hint="eastAsia"/>
          <w:sz w:val="24"/>
          <w:szCs w:val="24"/>
          <w:highlight w:val="none"/>
        </w:rPr>
        <w:t>届监事会第</w:t>
      </w:r>
      <w:r>
        <w:rPr>
          <w:rFonts w:hint="eastAsia"/>
          <w:sz w:val="24"/>
          <w:szCs w:val="24"/>
          <w:highlight w:val="none"/>
          <w:lang w:val="en-US" w:eastAsia="zh-CN"/>
        </w:rPr>
        <w:t>十四</w:t>
      </w:r>
      <w:r>
        <w:rPr>
          <w:rFonts w:hint="eastAsia"/>
          <w:sz w:val="24"/>
          <w:szCs w:val="24"/>
          <w:highlight w:val="none"/>
        </w:rPr>
        <w:t>次会议，审议通过了《关于回购公司股份方案的议案》</w:t>
      </w:r>
      <w:r>
        <w:rPr>
          <w:rFonts w:hint="eastAsia"/>
          <w:sz w:val="24"/>
          <w:szCs w:val="24"/>
          <w:highlight w:val="none"/>
          <w:lang w:eastAsia="zh-CN"/>
        </w:rPr>
        <w:t>，</w:t>
      </w:r>
      <w:r>
        <w:rPr>
          <w:rFonts w:hint="eastAsia"/>
          <w:sz w:val="24"/>
          <w:szCs w:val="24"/>
          <w:highlight w:val="none"/>
        </w:rPr>
        <w:t>议案的审议及表决满足经三分之二以上董事出席的董事会会议决议通过的条件，本议案无需提交股东大会审议。</w:t>
      </w:r>
    </w:p>
    <w:p>
      <w:pPr>
        <w:spacing w:line="360" w:lineRule="auto"/>
        <w:ind w:firstLine="482" w:firstLineChars="200"/>
        <w:rPr>
          <w:b/>
          <w:bCs/>
          <w:sz w:val="24"/>
          <w:szCs w:val="24"/>
          <w:highlight w:val="none"/>
        </w:rPr>
      </w:pPr>
      <w:r>
        <w:rPr>
          <w:rFonts w:hint="eastAsia"/>
          <w:b/>
          <w:bCs/>
          <w:sz w:val="24"/>
          <w:szCs w:val="24"/>
          <w:highlight w:val="none"/>
        </w:rPr>
        <w:t>三、回购方案的风险提示</w:t>
      </w:r>
    </w:p>
    <w:p>
      <w:pPr>
        <w:spacing w:line="360" w:lineRule="auto"/>
        <w:ind w:firstLine="480" w:firstLineChars="200"/>
        <w:rPr>
          <w:sz w:val="24"/>
          <w:szCs w:val="24"/>
          <w:highlight w:val="none"/>
        </w:rPr>
      </w:pPr>
      <w:r>
        <w:rPr>
          <w:rFonts w:hint="eastAsia"/>
          <w:sz w:val="24"/>
          <w:szCs w:val="24"/>
          <w:highlight w:val="none"/>
        </w:rPr>
        <w:t>（1）本次回购股份方案存在回购期限内股票价格持续超出回购价格上限，而导致本次回购方案无法实施或只能部分实施等不确定性风险；</w:t>
      </w:r>
    </w:p>
    <w:p>
      <w:pPr>
        <w:spacing w:line="360" w:lineRule="auto"/>
        <w:ind w:firstLine="480" w:firstLineChars="200"/>
        <w:rPr>
          <w:sz w:val="24"/>
          <w:szCs w:val="24"/>
          <w:highlight w:val="none"/>
        </w:rPr>
      </w:pPr>
      <w:r>
        <w:rPr>
          <w:rFonts w:hint="eastAsia"/>
          <w:sz w:val="24"/>
          <w:szCs w:val="24"/>
          <w:highlight w:val="none"/>
        </w:rPr>
        <w:t>（2）本次回购股份方案存在因发生对公司股票交易价格产生重大影响的重大事项或公司董事会决定终止本次回购方案、公司不符合法律法规规定的回购股份条件等而无法实施的风险；</w:t>
      </w:r>
    </w:p>
    <w:p>
      <w:pPr>
        <w:spacing w:line="360" w:lineRule="auto"/>
        <w:ind w:firstLine="480" w:firstLineChars="200"/>
        <w:rPr>
          <w:sz w:val="24"/>
          <w:szCs w:val="24"/>
          <w:highlight w:val="none"/>
        </w:rPr>
      </w:pPr>
      <w:r>
        <w:rPr>
          <w:rFonts w:hint="eastAsia"/>
          <w:sz w:val="24"/>
          <w:szCs w:val="24"/>
          <w:highlight w:val="none"/>
        </w:rPr>
        <w:t>（3）本次回购股份方案可能存在因公司经营、财务状况、外部客观情况发生重大变化等原因，根据规则需变更或终止回购方案的风险；</w:t>
      </w:r>
    </w:p>
    <w:p>
      <w:pPr>
        <w:spacing w:line="360" w:lineRule="auto"/>
        <w:ind w:firstLine="480" w:firstLineChars="200"/>
        <w:rPr>
          <w:sz w:val="24"/>
          <w:szCs w:val="24"/>
          <w:highlight w:val="none"/>
        </w:rPr>
      </w:pPr>
      <w:r>
        <w:rPr>
          <w:rFonts w:hint="eastAsia"/>
          <w:sz w:val="24"/>
          <w:szCs w:val="24"/>
          <w:highlight w:val="none"/>
        </w:rPr>
        <w:t>（4）本次回购股份方案可能存在因股权激励及/或员工持股计划未能经公司董事会和股东大会审议通过、股权激励及/或员工持股计划对象放弃认购等原因，导致已回购股份无法全部授出而被注销的风险。公司将在回购期间内根据市场情况择机做出回购决策并予以实施，并根据回购股份事项进展情况及时履行信息披露义务，敬请广大投资者注意投资风险。</w:t>
      </w:r>
    </w:p>
    <w:p>
      <w:pPr>
        <w:spacing w:line="360" w:lineRule="auto"/>
        <w:ind w:firstLine="482" w:firstLineChars="200"/>
        <w:rPr>
          <w:b/>
          <w:bCs/>
          <w:sz w:val="24"/>
          <w:szCs w:val="24"/>
          <w:highlight w:val="none"/>
        </w:rPr>
      </w:pPr>
      <w:r>
        <w:rPr>
          <w:rFonts w:hint="eastAsia"/>
          <w:b/>
          <w:bCs/>
          <w:sz w:val="24"/>
          <w:szCs w:val="24"/>
          <w:highlight w:val="none"/>
        </w:rPr>
        <w:t>四、备查文件</w:t>
      </w:r>
    </w:p>
    <w:p>
      <w:pPr>
        <w:spacing w:line="360" w:lineRule="auto"/>
        <w:ind w:firstLine="480" w:firstLineChars="200"/>
        <w:rPr>
          <w:sz w:val="24"/>
          <w:szCs w:val="24"/>
          <w:highlight w:val="none"/>
        </w:rPr>
      </w:pPr>
      <w:r>
        <w:rPr>
          <w:rFonts w:hint="eastAsia"/>
          <w:sz w:val="24"/>
          <w:szCs w:val="24"/>
          <w:highlight w:val="none"/>
        </w:rPr>
        <w:t>1、第</w:t>
      </w:r>
      <w:r>
        <w:rPr>
          <w:rFonts w:hint="eastAsia"/>
          <w:sz w:val="24"/>
          <w:szCs w:val="24"/>
          <w:highlight w:val="none"/>
          <w:lang w:val="en-US" w:eastAsia="zh-CN"/>
        </w:rPr>
        <w:t>三</w:t>
      </w:r>
      <w:r>
        <w:rPr>
          <w:rFonts w:hint="eastAsia"/>
          <w:sz w:val="24"/>
          <w:szCs w:val="24"/>
          <w:highlight w:val="none"/>
        </w:rPr>
        <w:t>届董事会第十</w:t>
      </w:r>
      <w:r>
        <w:rPr>
          <w:rFonts w:hint="eastAsia"/>
          <w:sz w:val="24"/>
          <w:szCs w:val="24"/>
          <w:highlight w:val="none"/>
          <w:lang w:val="en-US" w:eastAsia="zh-CN"/>
        </w:rPr>
        <w:t>四</w:t>
      </w:r>
      <w:r>
        <w:rPr>
          <w:rFonts w:hint="eastAsia"/>
          <w:sz w:val="24"/>
          <w:szCs w:val="24"/>
          <w:highlight w:val="none"/>
        </w:rPr>
        <w:t>次会议决议；</w:t>
      </w:r>
    </w:p>
    <w:p>
      <w:pPr>
        <w:spacing w:line="360" w:lineRule="auto"/>
        <w:ind w:firstLine="480" w:firstLineChars="200"/>
        <w:rPr>
          <w:sz w:val="24"/>
          <w:szCs w:val="24"/>
          <w:highlight w:val="none"/>
        </w:rPr>
      </w:pPr>
      <w:r>
        <w:rPr>
          <w:rFonts w:hint="eastAsia"/>
          <w:sz w:val="24"/>
          <w:szCs w:val="24"/>
          <w:highlight w:val="none"/>
        </w:rPr>
        <w:t>2、第</w:t>
      </w:r>
      <w:r>
        <w:rPr>
          <w:rFonts w:hint="eastAsia"/>
          <w:sz w:val="24"/>
          <w:szCs w:val="24"/>
          <w:highlight w:val="none"/>
          <w:lang w:val="en-US" w:eastAsia="zh-CN"/>
        </w:rPr>
        <w:t>三</w:t>
      </w:r>
      <w:r>
        <w:rPr>
          <w:rFonts w:hint="eastAsia"/>
          <w:sz w:val="24"/>
          <w:szCs w:val="24"/>
          <w:highlight w:val="none"/>
        </w:rPr>
        <w:t>届监事会第十</w:t>
      </w:r>
      <w:r>
        <w:rPr>
          <w:rFonts w:hint="eastAsia"/>
          <w:sz w:val="24"/>
          <w:szCs w:val="24"/>
          <w:highlight w:val="none"/>
          <w:lang w:val="en-US" w:eastAsia="zh-CN"/>
        </w:rPr>
        <w:t>四</w:t>
      </w:r>
      <w:r>
        <w:rPr>
          <w:rFonts w:hint="eastAsia"/>
          <w:sz w:val="24"/>
          <w:szCs w:val="24"/>
          <w:highlight w:val="none"/>
        </w:rPr>
        <w:t>次会议决议；</w:t>
      </w:r>
    </w:p>
    <w:p>
      <w:pPr>
        <w:spacing w:line="360" w:lineRule="auto"/>
        <w:ind w:firstLine="480" w:firstLineChars="200"/>
        <w:rPr>
          <w:sz w:val="24"/>
          <w:szCs w:val="24"/>
          <w:highlight w:val="none"/>
        </w:rPr>
      </w:pPr>
      <w:r>
        <w:rPr>
          <w:rFonts w:hint="eastAsia"/>
          <w:sz w:val="24"/>
          <w:szCs w:val="24"/>
          <w:highlight w:val="none"/>
          <w:lang w:val="en-US" w:eastAsia="zh-CN"/>
        </w:rPr>
        <w:t>3</w:t>
      </w:r>
      <w:r>
        <w:rPr>
          <w:rFonts w:hint="eastAsia"/>
          <w:sz w:val="24"/>
          <w:szCs w:val="24"/>
          <w:highlight w:val="none"/>
        </w:rPr>
        <w:t>、深交所要求的其他文件。</w:t>
      </w:r>
    </w:p>
    <w:p>
      <w:pPr>
        <w:spacing w:line="360" w:lineRule="auto"/>
        <w:ind w:firstLine="480" w:firstLineChars="200"/>
        <w:rPr>
          <w:sz w:val="24"/>
          <w:szCs w:val="24"/>
          <w:highlight w:val="none"/>
        </w:rPr>
      </w:pPr>
    </w:p>
    <w:p>
      <w:pPr>
        <w:spacing w:line="360" w:lineRule="auto"/>
        <w:ind w:firstLine="480" w:firstLineChars="200"/>
        <w:rPr>
          <w:sz w:val="24"/>
          <w:szCs w:val="24"/>
          <w:highlight w:val="none"/>
        </w:rPr>
      </w:pPr>
      <w:r>
        <w:rPr>
          <w:rFonts w:hint="eastAsia"/>
          <w:sz w:val="24"/>
          <w:szCs w:val="24"/>
          <w:highlight w:val="none"/>
        </w:rPr>
        <w:t>特此公告。</w:t>
      </w:r>
      <w:r>
        <w:rPr>
          <w:sz w:val="24"/>
          <w:szCs w:val="24"/>
          <w:highlight w:val="none"/>
        </w:rPr>
        <w:t xml:space="preserve"> </w:t>
      </w:r>
    </w:p>
    <w:p>
      <w:pPr>
        <w:spacing w:line="480" w:lineRule="auto"/>
        <w:ind w:firstLine="480" w:firstLineChars="200"/>
        <w:rPr>
          <w:sz w:val="24"/>
          <w:szCs w:val="24"/>
          <w:highlight w:val="none"/>
        </w:rPr>
      </w:pPr>
    </w:p>
    <w:p>
      <w:pPr>
        <w:spacing w:line="480" w:lineRule="auto"/>
        <w:ind w:firstLine="482" w:firstLineChars="200"/>
        <w:jc w:val="right"/>
        <w:rPr>
          <w:b/>
          <w:sz w:val="24"/>
          <w:szCs w:val="24"/>
          <w:highlight w:val="none"/>
        </w:rPr>
      </w:pPr>
      <w:r>
        <w:rPr>
          <w:rFonts w:hint="eastAsia"/>
          <w:b/>
          <w:sz w:val="24"/>
          <w:szCs w:val="24"/>
          <w:highlight w:val="none"/>
        </w:rPr>
        <w:t>江苏海晨物流股份有限公司</w:t>
      </w:r>
      <w:r>
        <w:rPr>
          <w:b/>
          <w:sz w:val="24"/>
          <w:szCs w:val="24"/>
          <w:highlight w:val="none"/>
        </w:rPr>
        <w:t xml:space="preserve">董事会 </w:t>
      </w:r>
    </w:p>
    <w:p>
      <w:pPr>
        <w:spacing w:line="480" w:lineRule="auto"/>
        <w:ind w:firstLine="482" w:firstLineChars="200"/>
        <w:jc w:val="right"/>
        <w:rPr>
          <w:b/>
          <w:sz w:val="24"/>
          <w:szCs w:val="24"/>
          <w:highlight w:val="none"/>
        </w:rPr>
      </w:pPr>
      <w:r>
        <w:rPr>
          <w:b/>
          <w:sz w:val="24"/>
          <w:szCs w:val="24"/>
          <w:highlight w:val="none"/>
        </w:rPr>
        <w:t>202</w:t>
      </w:r>
      <w:r>
        <w:rPr>
          <w:rFonts w:hint="eastAsia"/>
          <w:b/>
          <w:sz w:val="24"/>
          <w:szCs w:val="24"/>
          <w:highlight w:val="none"/>
          <w:lang w:val="en-US" w:eastAsia="zh-CN"/>
        </w:rPr>
        <w:t>4</w:t>
      </w:r>
      <w:r>
        <w:rPr>
          <w:b/>
          <w:sz w:val="24"/>
          <w:szCs w:val="24"/>
          <w:highlight w:val="none"/>
        </w:rPr>
        <w:t>年</w:t>
      </w:r>
      <w:r>
        <w:rPr>
          <w:rFonts w:hint="eastAsia"/>
          <w:b/>
          <w:sz w:val="24"/>
          <w:szCs w:val="24"/>
          <w:highlight w:val="none"/>
          <w:lang w:val="en-US" w:eastAsia="zh-CN"/>
        </w:rPr>
        <w:t>2</w:t>
      </w:r>
      <w:r>
        <w:rPr>
          <w:b/>
          <w:sz w:val="24"/>
          <w:szCs w:val="24"/>
          <w:highlight w:val="none"/>
        </w:rPr>
        <w:t>月</w:t>
      </w:r>
      <w:r>
        <w:rPr>
          <w:rFonts w:hint="eastAsia"/>
          <w:b/>
          <w:sz w:val="24"/>
          <w:szCs w:val="24"/>
          <w:highlight w:val="none"/>
          <w:lang w:val="en-US" w:eastAsia="zh-CN"/>
        </w:rPr>
        <w:t>6</w:t>
      </w:r>
      <w:r>
        <w:rPr>
          <w:b/>
          <w:sz w:val="24"/>
          <w:szCs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B1907F"/>
    <w:multiLevelType w:val="singleLevel"/>
    <w:tmpl w:val="8BB1907F"/>
    <w:lvl w:ilvl="0" w:tentative="0">
      <w:start w:val="3"/>
      <w:numFmt w:val="decimal"/>
      <w:suff w:val="nothing"/>
      <w:lvlText w:val="%1、"/>
      <w:lvlJc w:val="left"/>
    </w:lvl>
  </w:abstractNum>
  <w:abstractNum w:abstractNumId="1">
    <w:nsid w:val="E6BFE874"/>
    <w:multiLevelType w:val="singleLevel"/>
    <w:tmpl w:val="E6BFE874"/>
    <w:lvl w:ilvl="0" w:tentative="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3ZGFhMzBkZTM5OTRjMmU4YmRkOTYxZmY5OWFkODMifQ=="/>
  </w:docVars>
  <w:rsids>
    <w:rsidRoot w:val="008A2E18"/>
    <w:rsid w:val="000A4ACF"/>
    <w:rsid w:val="000C0FBE"/>
    <w:rsid w:val="00117F05"/>
    <w:rsid w:val="001307C9"/>
    <w:rsid w:val="00140F81"/>
    <w:rsid w:val="00160885"/>
    <w:rsid w:val="001C0697"/>
    <w:rsid w:val="001D7E22"/>
    <w:rsid w:val="00207ED1"/>
    <w:rsid w:val="002100A3"/>
    <w:rsid w:val="0024795F"/>
    <w:rsid w:val="00275E23"/>
    <w:rsid w:val="003174F3"/>
    <w:rsid w:val="003A6BE0"/>
    <w:rsid w:val="004379CA"/>
    <w:rsid w:val="00496476"/>
    <w:rsid w:val="00497F16"/>
    <w:rsid w:val="00536467"/>
    <w:rsid w:val="00546486"/>
    <w:rsid w:val="005D25C5"/>
    <w:rsid w:val="005E625A"/>
    <w:rsid w:val="00661C7B"/>
    <w:rsid w:val="006F603C"/>
    <w:rsid w:val="00736DF9"/>
    <w:rsid w:val="008A2E18"/>
    <w:rsid w:val="00951C81"/>
    <w:rsid w:val="00977B33"/>
    <w:rsid w:val="009817D2"/>
    <w:rsid w:val="00982B9C"/>
    <w:rsid w:val="009D0F4A"/>
    <w:rsid w:val="009E1681"/>
    <w:rsid w:val="009F0B4E"/>
    <w:rsid w:val="00A0280A"/>
    <w:rsid w:val="00A47504"/>
    <w:rsid w:val="00A76CD4"/>
    <w:rsid w:val="00AA3E98"/>
    <w:rsid w:val="00AD58CC"/>
    <w:rsid w:val="00AD6745"/>
    <w:rsid w:val="00AF789A"/>
    <w:rsid w:val="00B20A7C"/>
    <w:rsid w:val="00BB083D"/>
    <w:rsid w:val="00BB09B9"/>
    <w:rsid w:val="00BC7963"/>
    <w:rsid w:val="00C33CA5"/>
    <w:rsid w:val="00CB5B77"/>
    <w:rsid w:val="00D01C79"/>
    <w:rsid w:val="00D02CDC"/>
    <w:rsid w:val="00D06403"/>
    <w:rsid w:val="00D71B07"/>
    <w:rsid w:val="00E520BA"/>
    <w:rsid w:val="00E629B9"/>
    <w:rsid w:val="00EA1ED5"/>
    <w:rsid w:val="00F451B5"/>
    <w:rsid w:val="00FB381C"/>
    <w:rsid w:val="00FB6A7F"/>
    <w:rsid w:val="00FD347D"/>
    <w:rsid w:val="00FF3F5F"/>
    <w:rsid w:val="04AF5541"/>
    <w:rsid w:val="053A3164"/>
    <w:rsid w:val="092C509F"/>
    <w:rsid w:val="0E1A1A66"/>
    <w:rsid w:val="17602EFE"/>
    <w:rsid w:val="19927F79"/>
    <w:rsid w:val="267018BD"/>
    <w:rsid w:val="293B54F6"/>
    <w:rsid w:val="3F5E68F8"/>
    <w:rsid w:val="447F18B3"/>
    <w:rsid w:val="491555B7"/>
    <w:rsid w:val="498B5A38"/>
    <w:rsid w:val="4B165540"/>
    <w:rsid w:val="5B5F2276"/>
    <w:rsid w:val="62E25B42"/>
    <w:rsid w:val="647548CC"/>
    <w:rsid w:val="69735746"/>
    <w:rsid w:val="6C823EF2"/>
    <w:rsid w:val="7998564B"/>
    <w:rsid w:val="7A187C44"/>
    <w:rsid w:val="7BD86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autoRedefine/>
    <w:semiHidden/>
    <w:unhideWhenUsed/>
    <w:qFormat/>
    <w:uiPriority w:val="99"/>
    <w:pPr>
      <w:spacing w:before="100" w:beforeAutospacing="1" w:after="100" w:afterAutospacing="1" w:line="360" w:lineRule="auto"/>
      <w:ind w:firstLine="480"/>
    </w:p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3"/>
    <w:autoRedefine/>
    <w:qFormat/>
    <w:uiPriority w:val="99"/>
    <w:rPr>
      <w:sz w:val="18"/>
      <w:szCs w:val="18"/>
    </w:rPr>
  </w:style>
  <w:style w:type="character" w:customStyle="1" w:styleId="10">
    <w:name w:val="页脚 字符"/>
    <w:basedOn w:val="7"/>
    <w:link w:val="2"/>
    <w:autoRedefine/>
    <w:qFormat/>
    <w:uiPriority w:val="99"/>
    <w:rPr>
      <w:sz w:val="18"/>
      <w:szCs w:val="18"/>
    </w:rPr>
  </w:style>
  <w:style w:type="paragraph" w:customStyle="1" w:styleId="1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1073</Words>
  <Characters>6120</Characters>
  <Lines>51</Lines>
  <Paragraphs>14</Paragraphs>
  <TotalTime>1</TotalTime>
  <ScaleCrop>false</ScaleCrop>
  <LinksUpToDate>false</LinksUpToDate>
  <CharactersWithSpaces>7179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2022-04-26T04:52:00Z</dcterms:created>
  <dc:creator>Leanne</dc:creator>
  <cp:lastModifiedBy>Leanne</cp:lastModifiedBy>
  <cp:lastPrinted>2024-02-06T11:43:00Z</cp:lastPrinted>
  <dcterms:modified xsi:type="dcterms:W3CDTF">2024-02-06T13:30:47Z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6B5C83A5666E4DA3BEA29B60CFF627C8_13</vt:lpwstr>
  </property>
</Properties>
</file>